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5"/>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rPr>
          <w:rFonts w:hint="eastAsia" w:hAnsi="宋体" w:cs="宋体"/>
        </w:rPr>
      </w:pPr>
      <w:r>
        <w:rPr>
          <w:rFonts w:hint="eastAsia" w:hAnsi="宋体" w:cs="宋体"/>
        </w:rPr>
      </w:r>
      <w:r/>
    </w:p>
    <w:p>
      <w:pPr>
        <w:pStyle w:val="1007"/>
        <w:ind w:left="1446"/>
        <w:rPr>
          <w:rFonts w:hint="eastAsia" w:hAnsi="宋体" w:cs="宋体"/>
        </w:rPr>
      </w:pPr>
      <w:r>
        <w:rPr>
          <w:rFonts w:hint="eastAsia" w:hAnsi="宋体" w:cs="宋体"/>
        </w:rPr>
      </w:r>
      <w:r/>
    </w:p>
    <w:p>
      <w:pPr>
        <w:pStyle w:val="1007"/>
        <w:ind w:left="1446"/>
        <w:rPr>
          <w:rFonts w:hint="eastAsia" w:hAnsi="宋体" w:cs="宋体"/>
        </w:rPr>
      </w:pPr>
      <w:r>
        <w:rPr>
          <w:rFonts w:hint="eastAsia" w:hAnsi="宋体" w:cs="宋体"/>
        </w:rPr>
      </w:r>
      <w:r/>
    </w:p>
    <w:p>
      <w:pPr>
        <w:pStyle w:val="1145"/>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45"/>
        <w:ind w:firstLine="0"/>
        <w:jc w:val="center"/>
        <w:rPr>
          <w:rFonts w:hint="eastAsia" w:ascii="宋体" w:hAnsi="宋体" w:cs="宋体"/>
          <w:bCs/>
          <w:sz w:val="32"/>
        </w:rPr>
      </w:pPr>
      <w:r>
        <w:rPr>
          <w:rFonts w:hint="eastAsia" w:ascii="宋体" w:hAnsi="宋体" w:cs="宋体"/>
          <w:bCs/>
          <w:sz w:val="32"/>
        </w:rPr>
      </w:r>
      <w:r/>
    </w:p>
    <w:p>
      <w:pPr>
        <w:pStyle w:val="1145"/>
        <w:ind w:firstLine="0"/>
        <w:jc w:val="center"/>
        <w:rPr>
          <w:rFonts w:hint="eastAsia" w:ascii="宋体" w:hAnsi="宋体" w:cs="宋体"/>
          <w:bCs/>
          <w:sz w:val="32"/>
        </w:rPr>
      </w:pPr>
      <w:r>
        <w:rPr>
          <w:rFonts w:hint="eastAsia" w:ascii="宋体" w:hAnsi="宋体" w:cs="宋体"/>
          <w:bCs/>
          <w:sz w:val="32"/>
        </w:rPr>
      </w:r>
      <w:r/>
    </w:p>
    <w:p>
      <w:pPr>
        <w:pStyle w:val="1145"/>
        <w:ind w:firstLine="0"/>
        <w:jc w:val="center"/>
        <w:rPr>
          <w:rFonts w:hint="eastAsia" w:ascii="宋体" w:hAnsi="宋体" w:cs="宋体"/>
          <w:bCs/>
          <w:sz w:val="28"/>
        </w:rPr>
      </w:pPr>
      <w:r>
        <w:rPr>
          <w:rFonts w:hint="eastAsia" w:ascii="宋体" w:hAnsi="宋体" w:cs="宋体"/>
          <w:bCs/>
          <w:sz w:val="32"/>
        </w:rPr>
        <w:t xml:space="preserve">项目名称：镇江市第一人民医院医用气体供应项目</w:t>
      </w:r>
      <w:r/>
    </w:p>
    <w:p>
      <w:pPr>
        <w:pStyle w:val="1145"/>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JSZC-321100-HWZX-G2025-0868</w:t>
      </w:r>
      <w:r/>
    </w:p>
    <w:p>
      <w:pPr>
        <w:pStyle w:val="1145"/>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0675-256JOC016313</w:t>
      </w:r>
      <w:r/>
    </w:p>
    <w:p>
      <w:pPr>
        <w:pStyle w:val="1145"/>
        <w:ind w:firstLine="0"/>
        <w:spacing w:before="0" w:after="0"/>
        <w:rPr>
          <w:rFonts w:hint="eastAsia" w:ascii="宋体" w:hAnsi="宋体" w:cs="宋体"/>
          <w:bCs/>
        </w:rPr>
      </w:pPr>
      <w:r>
        <w:rPr>
          <w:rFonts w:hint="eastAsia" w:ascii="宋体" w:hAnsi="宋体" w:cs="宋体"/>
          <w:bCs/>
        </w:rPr>
      </w:r>
      <w:r/>
    </w:p>
    <w:p>
      <w:pPr>
        <w:pStyle w:val="1145"/>
        <w:ind w:firstLine="0"/>
        <w:spacing w:before="0" w:after="0"/>
        <w:rPr>
          <w:rFonts w:hint="eastAsia" w:ascii="宋体" w:hAnsi="宋体" w:cs="宋体"/>
          <w:bCs/>
        </w:rPr>
      </w:pPr>
      <w:r>
        <w:rPr>
          <w:rFonts w:hint="eastAsia" w:ascii="宋体" w:hAnsi="宋体" w:cs="宋体"/>
          <w:bCs/>
        </w:rPr>
      </w:r>
      <w:r/>
    </w:p>
    <w:p>
      <w:pPr>
        <w:pStyle w:val="1145"/>
        <w:ind w:firstLine="0"/>
        <w:spacing w:before="0" w:after="0"/>
        <w:rPr>
          <w:rFonts w:hint="eastAsia" w:ascii="宋体" w:hAnsi="宋体" w:cs="宋体"/>
          <w:bCs/>
        </w:rPr>
      </w:pPr>
      <w:r>
        <w:rPr>
          <w:rFonts w:hint="eastAsia" w:ascii="宋体" w:hAnsi="宋体" w:cs="宋体"/>
          <w:bCs/>
        </w:rPr>
      </w:r>
      <w:r/>
    </w:p>
    <w:p>
      <w:pPr>
        <w:pStyle w:val="1145"/>
        <w:ind w:firstLine="0"/>
        <w:spacing w:before="0" w:after="0"/>
        <w:rPr>
          <w:rFonts w:hint="eastAsia" w:ascii="宋体" w:hAnsi="宋体" w:cs="宋体"/>
          <w:bCs/>
        </w:rPr>
      </w:pPr>
      <w:r>
        <w:rPr>
          <w:rFonts w:hint="eastAsia" w:ascii="宋体" w:hAnsi="宋体" w:cs="宋体"/>
          <w:bCs/>
        </w:rPr>
      </w:r>
      <w:r/>
    </w:p>
    <w:p>
      <w:pPr>
        <w:pStyle w:val="1145"/>
        <w:ind w:firstLine="0"/>
        <w:spacing w:before="0" w:after="0"/>
        <w:rPr>
          <w:rFonts w:hint="eastAsia" w:ascii="宋体" w:hAnsi="宋体" w:cs="宋体"/>
          <w:bCs/>
        </w:rPr>
      </w:pPr>
      <w:r>
        <w:rPr>
          <w:rFonts w:hint="eastAsia" w:ascii="宋体" w:hAnsi="宋体" w:cs="宋体"/>
          <w:bCs/>
        </w:rPr>
      </w:r>
      <w:r/>
    </w:p>
    <w:p>
      <w:pPr>
        <w:pStyle w:val="1145"/>
        <w:ind w:firstLine="0"/>
        <w:spacing w:before="0" w:after="0"/>
        <w:rPr>
          <w:rFonts w:hint="eastAsia" w:ascii="宋体" w:hAnsi="宋体" w:cs="宋体"/>
          <w:bCs/>
        </w:rPr>
      </w:pPr>
      <w:r>
        <w:rPr>
          <w:rFonts w:hint="eastAsia" w:ascii="宋体" w:hAnsi="宋体" w:cs="宋体"/>
          <w:bCs/>
        </w:rPr>
      </w:r>
      <w:r/>
    </w:p>
    <w:p>
      <w:pPr>
        <w:pStyle w:val="1145"/>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镇江市第一人民医院</w:t>
      </w:r>
      <w:r/>
    </w:p>
    <w:p>
      <w:pPr>
        <w:pStyle w:val="1145"/>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45"/>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11月</w:t>
      </w:r>
      <w:r/>
    </w:p>
    <w:p>
      <w:pPr>
        <w:pStyle w:val="1242"/>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523127445"/>
      <w:r/>
      <w:bookmarkStart w:id="5" w:name="_Toc479757206"/>
      <w:r/>
      <w:bookmarkStart w:id="6" w:name="_Toc20823272"/>
      <w:r/>
      <w:bookmarkStart w:id="7" w:name="_Toc16938516"/>
      <w:r/>
      <w:bookmarkStart w:id="8" w:name="_Toc513029200"/>
      <w:r/>
      <w:r/>
    </w:p>
    <w:p>
      <w:pPr>
        <w:pStyle w:val="1242"/>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1020"/>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49"/>
            <w:rFonts w:ascii="宋体" w:hAnsi="宋体" w:cs="宋体"/>
            <w:b w:val="0"/>
            <w:bCs/>
            <w:color w:val="auto"/>
          </w:rPr>
          <w:t xml:space="preserve">第一章</w:t>
        </w:r>
        <w:r>
          <w:rPr>
            <w:rStyle w:val="1049"/>
            <w:rFonts w:hint="eastAsia" w:ascii="宋体" w:hAnsi="宋体" w:cs="宋体"/>
            <w:b w:val="0"/>
            <w:bCs/>
            <w:color w:val="auto"/>
          </w:rPr>
          <w:t xml:space="preserve">  </w:t>
        </w:r>
        <w:r>
          <w:rPr>
            <w:rStyle w:val="1049"/>
            <w:rFonts w:ascii="宋体" w:hAnsi="宋体" w:cs="宋体"/>
            <w:b w:val="0"/>
            <w:bCs/>
            <w:color w:val="auto"/>
          </w:rPr>
          <w:t xml:space="preserve">招标公告</w:t>
        </w:r>
      </w:hyperlink>
      <w:r/>
      <w:r/>
    </w:p>
    <w:p>
      <w:pPr>
        <w:pStyle w:val="1020"/>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49"/>
            <w:rFonts w:ascii="宋体" w:hAnsi="宋体" w:cs="宋体"/>
            <w:b w:val="0"/>
            <w:bCs/>
            <w:color w:val="auto"/>
          </w:rPr>
          <w:t xml:space="preserve">第二章</w:t>
        </w:r>
        <w:r>
          <w:rPr>
            <w:rStyle w:val="1049"/>
            <w:rFonts w:hint="eastAsia" w:ascii="宋体" w:hAnsi="宋体" w:cs="宋体"/>
            <w:b w:val="0"/>
            <w:bCs/>
            <w:color w:val="auto"/>
          </w:rPr>
          <w:t xml:space="preserve">  </w:t>
        </w:r>
        <w:r>
          <w:rPr>
            <w:rStyle w:val="1049"/>
            <w:rFonts w:ascii="宋体" w:hAnsi="宋体" w:cs="宋体"/>
            <w:b w:val="0"/>
            <w:bCs/>
            <w:color w:val="auto"/>
          </w:rPr>
          <w:t xml:space="preserve">投标人须知</w:t>
        </w:r>
      </w:hyperlink>
      <w:r/>
      <w:r/>
    </w:p>
    <w:p>
      <w:pPr>
        <w:pStyle w:val="1020"/>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49"/>
            <w:rFonts w:ascii="宋体" w:hAnsi="宋体" w:cs="宋体"/>
            <w:b w:val="0"/>
            <w:bCs/>
            <w:color w:val="auto"/>
          </w:rPr>
          <w:t xml:space="preserve">第三章</w:t>
        </w:r>
        <w:r>
          <w:rPr>
            <w:rStyle w:val="1049"/>
            <w:rFonts w:hint="eastAsia" w:ascii="宋体" w:hAnsi="宋体" w:cs="宋体"/>
            <w:b w:val="0"/>
            <w:bCs/>
            <w:color w:val="auto"/>
          </w:rPr>
          <w:t xml:space="preserve">  </w:t>
        </w:r>
        <w:r>
          <w:rPr>
            <w:rStyle w:val="1049"/>
            <w:rFonts w:ascii="宋体" w:hAnsi="宋体" w:cs="宋体"/>
            <w:b w:val="0"/>
            <w:bCs/>
            <w:color w:val="auto"/>
          </w:rPr>
          <w:t xml:space="preserve">合同文本</w:t>
        </w:r>
      </w:hyperlink>
      <w:r/>
      <w:r/>
    </w:p>
    <w:p>
      <w:pPr>
        <w:pStyle w:val="1020"/>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49"/>
            <w:rFonts w:ascii="宋体" w:hAnsi="宋体" w:cs="宋体"/>
            <w:b w:val="0"/>
            <w:bCs/>
            <w:color w:val="auto"/>
          </w:rPr>
          <w:t xml:space="preserve">第四章</w:t>
        </w:r>
        <w:r>
          <w:rPr>
            <w:rStyle w:val="1049"/>
            <w:rFonts w:hint="eastAsia" w:ascii="宋体" w:hAnsi="宋体" w:cs="宋体"/>
            <w:b w:val="0"/>
            <w:bCs/>
            <w:color w:val="auto"/>
          </w:rPr>
          <w:t xml:space="preserve">  </w:t>
        </w:r>
        <w:r>
          <w:rPr>
            <w:rStyle w:val="1049"/>
            <w:rFonts w:ascii="宋体" w:hAnsi="宋体" w:cs="宋体"/>
            <w:b w:val="0"/>
            <w:bCs/>
            <w:color w:val="auto"/>
          </w:rPr>
          <w:t xml:space="preserve">项目需求</w:t>
        </w:r>
      </w:hyperlink>
      <w:r/>
      <w:r/>
    </w:p>
    <w:p>
      <w:pPr>
        <w:pStyle w:val="1020"/>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49"/>
            <w:rFonts w:ascii="宋体" w:hAnsi="宋体" w:cs="宋体"/>
            <w:b w:val="0"/>
            <w:bCs/>
            <w:color w:val="auto"/>
          </w:rPr>
          <w:t xml:space="preserve">第五章</w:t>
        </w:r>
        <w:r>
          <w:rPr>
            <w:rStyle w:val="1049"/>
            <w:rFonts w:hint="eastAsia" w:ascii="宋体" w:hAnsi="宋体" w:cs="宋体"/>
            <w:b w:val="0"/>
            <w:bCs/>
            <w:color w:val="auto"/>
          </w:rPr>
          <w:t xml:space="preserve">  </w:t>
        </w:r>
        <w:r>
          <w:rPr>
            <w:rStyle w:val="1049"/>
            <w:rFonts w:ascii="宋体" w:hAnsi="宋体" w:cs="宋体"/>
            <w:b w:val="0"/>
            <w:bCs/>
            <w:color w:val="auto"/>
          </w:rPr>
          <w:t xml:space="preserve">评标方法与评标标准</w:t>
        </w:r>
      </w:hyperlink>
      <w:r/>
      <w:r/>
    </w:p>
    <w:p>
      <w:pPr>
        <w:pStyle w:val="1020"/>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49"/>
            <w:rFonts w:ascii="宋体" w:hAnsi="宋体" w:cs="宋体"/>
            <w:b w:val="0"/>
            <w:bCs/>
            <w:color w:val="auto"/>
          </w:rPr>
          <w:t xml:space="preserve">第六章</w:t>
        </w:r>
        <w:r>
          <w:rPr>
            <w:rStyle w:val="1049"/>
            <w:rFonts w:hint="eastAsia" w:ascii="宋体" w:hAnsi="宋体" w:cs="宋体"/>
            <w:b w:val="0"/>
            <w:bCs/>
            <w:color w:val="auto"/>
          </w:rPr>
          <w:t xml:space="preserve">  </w:t>
        </w:r>
        <w:r>
          <w:rPr>
            <w:rStyle w:val="1049"/>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78"/>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2"/>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Cs/>
          <w:position w:val="0"/>
          <w:szCs w:val="24"/>
        </w:rPr>
        <w:t xml:space="preserve">镇江市第一人民医院医用气体供应项目</w:t>
      </w:r>
      <w:r>
        <w:rPr>
          <w:rFonts w:hint="eastAsia" w:hAnsi="宋体" w:cs="宋体"/>
          <w:b w:val="0"/>
          <w:position w:val="0"/>
          <w:szCs w:val="24"/>
        </w:rPr>
        <w:t xml:space="preserve">的潜在投标人可在</w:t>
      </w:r>
      <w:r>
        <w:rPr>
          <w:rFonts w:hint="eastAsia" w:hAnsi="宋体"/>
          <w:b w:val="0"/>
          <w:bCs/>
          <w:position w:val="0"/>
          <w:szCs w:val="21"/>
          <w:u w:val="single"/>
        </w:rPr>
        <w:t xml:space="preserve"> 苏采云系统内免费下载</w:t>
      </w:r>
      <w:r>
        <w:rPr>
          <w:rFonts w:hint="eastAsia" w:hAnsi="宋体" w:cs="宋体"/>
          <w:b w:val="0"/>
          <w:position w:val="0"/>
          <w:szCs w:val="24"/>
          <w:u w:val="single"/>
        </w:rPr>
        <w:t xml:space="preserve">招标文件</w:t>
      </w:r>
      <w:r>
        <w:rPr>
          <w:rFonts w:hint="eastAsia" w:hAnsi="宋体" w:cs="宋体"/>
          <w:b w:val="0"/>
          <w:position w:val="0"/>
          <w:szCs w:val="24"/>
          <w:u w:val="single"/>
        </w:rPr>
        <w:t xml:space="preserve"> </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年12月</w:t>
      </w:r>
      <w:r>
        <w:rPr>
          <w:rFonts w:hint="eastAsia" w:hAnsi="宋体" w:cs="宋体"/>
          <w:b w:val="0"/>
          <w:bCs/>
          <w:position w:val="0"/>
          <w:szCs w:val="24"/>
          <w:u w:val="single"/>
        </w:rPr>
        <w:t xml:space="preserve">17</w:t>
      </w:r>
      <w:r>
        <w:rPr>
          <w:rFonts w:hint="eastAsia" w:hAnsi="宋体" w:cs="宋体"/>
          <w:b w:val="0"/>
          <w:bCs/>
          <w:position w:val="0"/>
          <w:szCs w:val="24"/>
          <w:u w:val="single"/>
        </w:rPr>
        <w:t xml:space="preserve">日10</w:t>
      </w:r>
      <w:r>
        <w:rPr>
          <w:rFonts w:hAnsi="宋体" w:cs="宋体"/>
          <w:b w:val="0"/>
          <w:bCs/>
          <w:position w:val="0"/>
          <w:szCs w:val="24"/>
          <w:u w:val="single"/>
        </w:rPr>
        <w:t xml:space="preserve">时</w:t>
      </w:r>
      <w:r>
        <w:rPr>
          <w:rFonts w:hint="eastAsia" w:hAnsi="宋体" w:cs="宋体"/>
          <w:b w:val="0"/>
          <w:bCs/>
          <w:position w:val="0"/>
          <w:szCs w:val="24"/>
          <w:u w:val="single"/>
        </w:rPr>
        <w:t xml:space="preserve">0</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1329"/>
      <w:r/>
      <w:bookmarkStart w:id="12" w:name="_Toc28359079"/>
      <w:r/>
      <w:bookmarkStart w:id="13" w:name="_Toc35393621"/>
      <w:r/>
      <w:bookmarkStart w:id="14" w:name="_Toc35393790"/>
      <w:r/>
      <w:bookmarkStart w:id="15" w:name="_Toc174468320"/>
      <w:r/>
      <w:bookmarkStart w:id="16" w:name="_Toc28359002"/>
      <w:r/>
      <w:bookmarkStart w:id="17" w:name="_Toc174468363"/>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JSZC-321100-HWZX-G2025-0868</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镇江市第一人民医院医用气体供应项目</w:t>
      </w:r>
      <w:bookmarkEnd w:id="18"/>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3、项目预算金额：人民币850.00万元/三年</w:t>
      </w:r>
      <w:r/>
    </w:p>
    <w:p>
      <w:pPr>
        <w:pStyle w:val="1040"/>
        <w:ind w:firstLine="480"/>
        <w:rPr>
          <w:rFonts w:hint="eastAsia" w:cs="Arial"/>
          <w:bCs/>
          <w:position w:val="0"/>
          <w:szCs w:val="21"/>
        </w:rPr>
      </w:pPr>
      <w:r>
        <w:rPr>
          <w:rFonts w:hint="eastAsia" w:cs="Arial"/>
          <w:b w:val="0"/>
          <w:position w:val="0"/>
          <w:szCs w:val="21"/>
        </w:rPr>
        <w:t xml:space="preserve">4、最高限价：</w:t>
      </w:r>
      <w:r>
        <w:rPr>
          <w:rFonts w:hint="eastAsia" w:cs="Arial"/>
          <w:bCs/>
          <w:position w:val="0"/>
          <w:szCs w:val="21"/>
        </w:rPr>
        <w:t xml:space="preserve">本项目进行统一折扣率报价，各品目最高限价详见第四章技术需求，投标人所报统一折扣率超过100%的将作无效投标处理。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本项目采购内容包含医用氧气（液态/瓶装）、二氧化碳、氮气等24类气体及液氧站建设等。</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6、合同履行期限：三年，详见项目需求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7、本项目是否接受联合体投标：否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int="eastAsia" w:hAnsi="宋体" w:cs="宋体"/>
          <w:b w:val="0"/>
          <w:bCs/>
          <w:position w:val="0"/>
          <w:szCs w:val="21"/>
        </w:rPr>
        <w:t xml:space="preserve">具有良好的商业信誉和健全的财务会计制度（提供上一年度（2024年）财务报告、成立不满一年的提供至少一个月财务报告，或银行出具的资信证明，或财政部门认可的政府采购专业担保机构出具的投标担保函等）</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6月</w:t>
      </w:r>
      <w:r>
        <w:rPr>
          <w:rFonts w:hAnsi="宋体" w:cs="宋体"/>
          <w:position w:val="0"/>
          <w:szCs w:val="24"/>
        </w:rPr>
        <w:t xml:space="preserve">-202</w:t>
      </w:r>
      <w:r>
        <w:rPr>
          <w:rFonts w:hint="eastAsia" w:hAnsi="宋体" w:cs="宋体"/>
          <w:position w:val="0"/>
          <w:szCs w:val="24"/>
        </w:rPr>
        <w:t xml:space="preserve">5年11月期间）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w:t>
      </w:r>
      <w:r>
        <w:rPr>
          <w:rFonts w:hAnsi="宋体" w:cs="宋体"/>
          <w:b w:val="0"/>
          <w:position w:val="0"/>
          <w:szCs w:val="21"/>
        </w:rPr>
        <w:t xml:space="preserve">声明</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1.6对于上述1.2-1.5条，投标人如提供资格承诺函（见格式），则无需再提供与其相关的证明材料。</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1、本项目为专门面向中小微企业采购项目。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本项目专门面向中小微企业采购</w:t>
      </w:r>
      <w:r>
        <w:rPr>
          <w:rFonts w:hint="eastAsia" w:hAnsi="宋体"/>
          <w:b w:val="0"/>
          <w:bCs/>
          <w:position w:val="0"/>
          <w:szCs w:val="24"/>
        </w:rPr>
        <w:t xml:space="preserve">。所称中型、小型、微型企业须满足《政府采购促进中小企业发展管理办法》（财库〔2020〕46号）第二条和第四条的规定</w:t>
      </w:r>
      <w:r>
        <w:rPr>
          <w:rFonts w:hAnsi="宋体"/>
          <w:b w:val="0"/>
          <w:bCs/>
          <w:position w:val="0"/>
          <w:szCs w:val="24"/>
        </w:rPr>
        <w:t xml:space="preserve">，采购货物全部由中小企业制造（货物由中小企业生产且使用该中小企业商号或者注册商标）。（</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bCs/>
        </w:rPr>
      </w:pPr>
      <w:r>
        <w:rPr>
          <w:b w:val="0"/>
        </w:rPr>
        <w:t xml:space="preserve">1</w:t>
      </w:r>
      <w:r>
        <w:rPr>
          <w:rFonts w:hint="eastAsia"/>
          <w:b w:val="0"/>
        </w:rPr>
        <w:t xml:space="preserve">、</w:t>
      </w:r>
      <w:r>
        <w:rPr>
          <w:rFonts w:hint="eastAsia"/>
          <w:b w:val="0"/>
          <w:bCs/>
        </w:rPr>
        <w:t xml:space="preserve">投标人为所投产品生产企业的须具有有效的中华人民共和国药品生产许可证、安全生产许可证、药品注册批件（或药品再注册批件）、气瓶充装许可证、移动式压力容器充装许可证</w:t>
      </w:r>
      <w:r>
        <w:rPr>
          <w:rFonts w:hint="eastAsia"/>
        </w:rPr>
        <w:t xml:space="preserve">（提供证明材料加盖公章）</w:t>
      </w:r>
      <w:r>
        <w:rPr>
          <w:rFonts w:hint="eastAsia"/>
          <w:b w:val="0"/>
          <w:bCs/>
        </w:rPr>
        <w:t xml:space="preserve">。</w:t>
      </w:r>
      <w:r/>
    </w:p>
    <w:p>
      <w:pPr>
        <w:ind w:firstLine="480"/>
        <w:spacing w:line="360" w:lineRule="auto"/>
        <w:rPr>
          <w:b w:val="0"/>
          <w:bCs/>
        </w:rPr>
      </w:pPr>
      <w:r>
        <w:rPr>
          <w:rFonts w:hint="eastAsia"/>
          <w:b w:val="0"/>
          <w:bCs/>
        </w:rPr>
        <w:t xml:space="preserve">2、投标人为所投产品经营企业的须具有有效的中华人民共和国药品经营许可证、危险化学品经营许可证，同时须提供与生产企业的合作协议及生产企业有效的中华人民共和国药品生产许可证、安全生产许可证、药品注册批件（或药品再注册批件）、气瓶充装许可证、移动式压力容器充装许可证</w:t>
      </w:r>
      <w:r>
        <w:rPr>
          <w:rFonts w:hint="eastAsia"/>
        </w:rPr>
        <w:t xml:space="preserve">（提供证明材料加盖公章）</w:t>
      </w:r>
      <w:r>
        <w:rPr>
          <w:rFonts w:hint="eastAsia"/>
          <w:b w:val="0"/>
          <w:bCs/>
        </w:rPr>
        <w:t xml:space="preserve">。</w:t>
      </w:r>
      <w:r/>
    </w:p>
    <w:p>
      <w:pPr>
        <w:ind w:firstLine="480"/>
        <w:spacing w:line="360" w:lineRule="auto"/>
        <w:rPr>
          <w:b w:val="0"/>
          <w:bCs/>
        </w:rPr>
      </w:pPr>
      <w:r>
        <w:rPr>
          <w:rFonts w:hint="eastAsia"/>
          <w:b w:val="0"/>
          <w:bCs/>
        </w:rPr>
        <w:t xml:space="preserve">3、投标人应具备危化品运输能力，提供危化品运输许可证证书（复印件加</w:t>
      </w:r>
      <w:r>
        <w:rPr>
          <w:rFonts w:hint="eastAsia"/>
          <w:b w:val="0"/>
          <w:bCs/>
        </w:rPr>
        <w:t xml:space="preserve">盖公章）；投标人为非承运单位的，应提供与承运单位签署的委托运输协议（复印件加盖公章），及承运单位的危化品运输许可证证书（复印件加盖公章）</w:t>
      </w:r>
      <w:r>
        <w:rPr>
          <w:rFonts w:hint="eastAsia"/>
        </w:rPr>
        <w:t xml:space="preserve">；同时</w:t>
      </w:r>
      <w:r>
        <w:rPr>
          <w:rFonts w:hint="eastAsia"/>
          <w:b w:val="0"/>
          <w:bCs/>
        </w:rPr>
        <w:t xml:space="preserve">，投标人应提供承诺函，承诺在气体运输和灌装过程中如发生意外事故均由投标人负责（承诺函格式自拟）</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3.7注：如潜在供应商未按上述要求操作，将自行承担所产生的风险。</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66"/>
      <w:r/>
      <w:bookmarkStart w:id="28" w:name="_Toc35393793"/>
      <w:r/>
      <w:bookmarkStart w:id="29" w:name="_Toc35393624"/>
      <w:r/>
      <w:bookmarkStart w:id="30" w:name="_Toc17446832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年12月17日10</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1" w:name="_Toc174468367"/>
      <w:r/>
      <w:bookmarkStart w:id="32" w:name="_Toc174468324"/>
      <w:r/>
      <w:bookmarkStart w:id="33" w:name="_Toc28359007"/>
      <w:r/>
      <w:bookmarkStart w:id="34" w:name="_Toc35393625"/>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174468368"/>
      <w:r/>
      <w:bookmarkStart w:id="39" w:name="_Toc17446832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采购代理编号：</w:t>
      </w:r>
      <w:r>
        <w:rPr>
          <w:rFonts w:hint="eastAsia" w:hAnsi="宋体" w:cs="宋体"/>
          <w:b w:val="0"/>
          <w:position w:val="0"/>
          <w:szCs w:val="24"/>
        </w:rPr>
        <w:t xml:space="preserve">0675-256JOC016313</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（二）本项目获取招标文件时间明确为：2025年11月</w:t>
      </w:r>
      <w:r>
        <w:rPr>
          <w:rFonts w:hint="eastAsia" w:hAnsi="宋体" w:cs="宋体"/>
          <w:b w:val="0"/>
          <w:position w:val="0"/>
          <w:szCs w:val="24"/>
        </w:rPr>
        <w:t xml:space="preserve">25</w:t>
      </w:r>
      <w:r>
        <w:rPr>
          <w:rFonts w:hint="eastAsia" w:hAnsi="宋体" w:cs="宋体"/>
          <w:b w:val="0"/>
          <w:position w:val="0"/>
          <w:szCs w:val="24"/>
        </w:rPr>
        <w:t xml:space="preserve">日09:00起至2025年</w:t>
      </w:r>
      <w:r>
        <w:rPr>
          <w:rFonts w:hint="eastAsia" w:hAnsi="宋体" w:cs="宋体"/>
          <w:b w:val="0"/>
          <w:position w:val="0"/>
          <w:szCs w:val="24"/>
        </w:rPr>
        <w:t xml:space="preserve">12</w:t>
      </w:r>
      <w:r>
        <w:rPr>
          <w:rFonts w:hint="eastAsia" w:hAnsi="宋体" w:cs="宋体"/>
          <w:b w:val="0"/>
          <w:position w:val="0"/>
          <w:szCs w:val="24"/>
        </w:rPr>
        <w:t xml:space="preserve">月</w:t>
      </w:r>
      <w:r>
        <w:rPr>
          <w:rFonts w:hint="eastAsia" w:hAnsi="宋体" w:cs="宋体"/>
          <w:b w:val="0"/>
          <w:position w:val="0"/>
          <w:szCs w:val="24"/>
        </w:rPr>
        <w:t xml:space="preserve">2</w:t>
      </w:r>
      <w:r>
        <w:rPr>
          <w:rFonts w:hint="eastAsia" w:hAnsi="宋体" w:cs="宋体"/>
          <w:b w:val="0"/>
          <w:position w:val="0"/>
          <w:szCs w:val="24"/>
        </w:rPr>
        <w:t xml:space="preserve">日17:00止（北京时间）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w:t>
      </w:r>
      <w:r/>
    </w:p>
    <w:p>
      <w:pPr>
        <w:ind w:firstLine="480"/>
        <w:spacing w:line="360" w:lineRule="auto"/>
        <w:rPr>
          <w:rFonts w:hint="eastAsia" w:hAnsi="宋体"/>
          <w:b w:val="0"/>
          <w:bCs/>
          <w:position w:val="0"/>
          <w:szCs w:val="24"/>
        </w:rPr>
      </w:pPr>
      <w:r>
        <w:rPr>
          <w:rFonts w:hint="eastAsia" w:hAnsi="宋体"/>
          <w:b w:val="0"/>
          <w:bCs/>
          <w:position w:val="0"/>
          <w:szCs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3、考虑到网络环境、网络带宽等风险因素，请供应商在开标时准备好制作标书的电脑或者已经安装过苏采云系统控件的电脑，登录谷歌浏览器进入开标大</w:t>
      </w:r>
      <w:r>
        <w:rPr>
          <w:rFonts w:hint="eastAsia" w:hAnsi="宋体"/>
          <w:b w:val="0"/>
          <w:bCs/>
          <w:position w:val="0"/>
          <w:szCs w:val="24"/>
        </w:rPr>
        <w:t xml:space="preserve">厅，竞争性招标、竞争性谈判、单一来源采购项目将与供应商就招标（谈判）文件进行线上招标（谈判），需要同时准备好耳麦和摄像设备。因供应商网络与电源不稳定、未按要求配置上述设备、上述设备发生故障等自身原因，导致开标评标失败的，供应商自行承担其后果。 </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4、本项目不收取投标保证金；</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5、本项目支持节能环保产品 (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keepLines/>
        <w:keepNext/>
        <w:spacing w:line="360" w:lineRule="auto"/>
        <w:rPr>
          <w:rFonts w:hint="eastAsia" w:hAnsi="宋体" w:cs="宋体"/>
          <w:position w:val="0"/>
          <w:szCs w:val="24"/>
        </w:rPr>
        <w:outlineLvl w:val="1"/>
      </w:pPr>
      <w:r/>
      <w:bookmarkStart w:id="41" w:name="_Toc174468326"/>
      <w:r/>
      <w:bookmarkStart w:id="42" w:name="_Toc28359085"/>
      <w:r/>
      <w:bookmarkStart w:id="43" w:name="_Toc28359008"/>
      <w:r/>
      <w:bookmarkStart w:id="44" w:name="_Toc174468369"/>
      <w:r/>
      <w:bookmarkStart w:id="45" w:name="_Toc35393796"/>
      <w:r/>
      <w:bookmarkStart w:id="46" w:name="_Toc35393627"/>
      <w:r>
        <w:rPr>
          <w:rFonts w:hint="eastAsia" w:hAnsi="宋体" w:cs="宋体"/>
          <w:position w:val="0"/>
          <w:szCs w:val="24"/>
        </w:rPr>
        <w:t xml:space="preserve">七、对本次招标提出询问，请按以下方式联系。</w:t>
      </w:r>
      <w:bookmarkEnd w:id="41"/>
      <w:r/>
      <w:bookmarkEnd w:id="42"/>
      <w:r/>
      <w:bookmarkEnd w:id="43"/>
      <w:r/>
      <w:bookmarkEnd w:id="44"/>
      <w:r/>
      <w:bookmarkEnd w:id="45"/>
      <w:r/>
      <w:bookmarkEnd w:id="46"/>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7" w:name="_Toc28359086"/>
      <w:r/>
      <w:bookmarkStart w:id="48" w:name="_Toc28359009"/>
      <w:r>
        <w:rPr>
          <w:rFonts w:hint="eastAsia" w:hAnsi="宋体" w:cs="宋体"/>
          <w:b w:val="0"/>
          <w:position w:val="0"/>
          <w:szCs w:val="24"/>
        </w:rPr>
        <w:t xml:space="preserve">名称：</w:t>
      </w:r>
      <w:r>
        <w:rPr>
          <w:rFonts w:hint="eastAsia" w:hAnsi="宋体" w:cs="宋体"/>
          <w:b w:val="0"/>
          <w:position w:val="0"/>
          <w:szCs w:val="24"/>
          <w:u w:val="single"/>
        </w:rPr>
        <w:t xml:space="preserve">镇江市第一人民医院</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江苏省镇江市电力路8号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杜老师</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position w:val="0"/>
          <w:szCs w:val="24"/>
          <w:u w:val="single"/>
        </w:rPr>
        <w:t xml:space="preserve">13062940857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7"/>
      <w:r/>
      <w:bookmarkEnd w:id="4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49" w:name="_Toc28359087"/>
      <w:r/>
      <w:bookmarkStart w:id="50" w:name="_Toc28359010"/>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78"/>
        <w:spacing w:line="360" w:lineRule="auto"/>
        <w:rPr>
          <w:rFonts w:hint="eastAsia" w:ascii="宋体" w:hAnsi="宋体" w:eastAsia="宋体" w:cs="宋体"/>
          <w:b/>
          <w:bCs/>
          <w:sz w:val="44"/>
        </w:rPr>
      </w:pPr>
      <w:r/>
      <w:bookmarkStart w:id="51" w:name="_Toc174468370"/>
      <w:r/>
      <w:bookmarkStart w:id="52" w:name="_Toc120614221"/>
      <w:r/>
      <w:bookmarkStart w:id="53" w:name="_Toc513029242"/>
      <w:r/>
      <w:bookmarkStart w:id="54" w:name="_Toc479757207"/>
      <w:r/>
      <w:bookmarkStart w:id="55" w:name="_Toc20823314"/>
      <w:r/>
      <w:bookmarkStart w:id="56"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7" w:name="_Toc20823274"/>
      <w:r/>
      <w:bookmarkStart w:id="58" w:name="_Toc513029202"/>
      <w:r/>
      <w:bookmarkStart w:id="59" w:name="_Toc120614213"/>
      <w:r/>
      <w:bookmarkStart w:id="60" w:name="_Toc16938518"/>
      <w:r>
        <w:rPr>
          <w:rFonts w:hint="eastAsia" w:ascii="宋体" w:hAnsi="宋体" w:eastAsia="宋体" w:cs="宋体"/>
          <w:b/>
          <w:bCs/>
          <w:sz w:val="44"/>
        </w:rPr>
        <w:t xml:space="preserve">  投标人须知</w:t>
      </w:r>
      <w:bookmarkEnd w:id="51"/>
      <w:r/>
      <w:bookmarkEnd w:id="57"/>
      <w:r/>
      <w:bookmarkEnd w:id="58"/>
      <w:r/>
      <w:bookmarkEnd w:id="59"/>
      <w:r/>
      <w:bookmarkEnd w:id="60"/>
      <w:r/>
      <w:r/>
    </w:p>
    <w:p>
      <w:pPr>
        <w:jc w:val="center"/>
        <w:spacing w:before="312" w:line="360" w:lineRule="auto"/>
        <w:rPr>
          <w:sz w:val="32"/>
          <w:szCs w:val="22"/>
        </w:rPr>
      </w:pPr>
      <w:r>
        <w:rPr>
          <w:rFonts w:hint="eastAsia"/>
          <w:sz w:val="32"/>
          <w:szCs w:val="22"/>
        </w:rPr>
        <w:t xml:space="preserve">投标人须知前附表</w:t>
      </w:r>
      <w:r/>
    </w:p>
    <w:tbl>
      <w:tblPr>
        <w:tblStyle w:val="1427"/>
        <w:tblW w:w="55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85"/>
        <w:gridCol w:w="6526"/>
      </w:tblGrid>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序号</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事项</w:t>
            </w:r>
            <w:r/>
          </w:p>
        </w:tc>
        <w:tc>
          <w:tcPr>
            <w:tcW w:w="3541"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本项目规定</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报价要求</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本次投标报价的币种为人民币。</w:t>
            </w:r>
            <w:r/>
          </w:p>
          <w:p>
            <w:pPr>
              <w:spacing w:line="360" w:lineRule="auto"/>
              <w:rPr>
                <w:rFonts w:hint="eastAsia" w:hAnsi="宋体" w:cs="楷体"/>
                <w:b w:val="0"/>
                <w:position w:val="0"/>
                <w:szCs w:val="24"/>
              </w:rPr>
            </w:pPr>
            <w:r>
              <w:rPr>
                <w:rFonts w:hint="eastAsia" w:hAnsi="宋体" w:cs="楷体"/>
                <w:b w:val="0"/>
                <w:position w:val="0"/>
                <w:szCs w:val="24"/>
              </w:rPr>
              <w:t xml:space="preserve">投标人应按招标文件所提供的各报价表格式报价。</w:t>
            </w:r>
            <w:r/>
          </w:p>
          <w:p>
            <w:pPr>
              <w:spacing w:line="360" w:lineRule="auto"/>
              <w:rPr>
                <w:rFonts w:hint="eastAsia" w:hAnsi="宋体" w:cs="楷体"/>
                <w:b w:val="0"/>
                <w:position w:val="0"/>
                <w:szCs w:val="24"/>
              </w:rPr>
            </w:pPr>
            <w:r>
              <w:rPr>
                <w:rFonts w:hint="eastAsia" w:hAnsi="宋体" w:cs="楷体"/>
                <w:b w:val="0"/>
                <w:position w:val="0"/>
                <w:szCs w:val="24"/>
              </w:rPr>
              <w:t xml:space="preserve">投标人应对本项目报出最具有竞争力的价格，应包括本次招标要求提供的货物（服务）已支付或将支付的所有费用（含税费）。</w:t>
            </w:r>
            <w:r/>
          </w:p>
          <w:p>
            <w:pPr>
              <w:spacing w:line="360" w:lineRule="auto"/>
              <w:rPr>
                <w:rFonts w:hint="eastAsia" w:hAnsi="宋体" w:cs="楷体"/>
                <w:b w:val="0"/>
                <w:position w:val="0"/>
                <w:szCs w:val="24"/>
              </w:rPr>
            </w:pPr>
            <w:r>
              <w:rPr>
                <w:rFonts w:hint="eastAsia" w:hAnsi="宋体" w:cs="楷体"/>
                <w:b w:val="0"/>
                <w:position w:val="0"/>
                <w:szCs w:val="24"/>
              </w:rPr>
              <w:t xml:space="preserve">最低投标报价不能作为中标的保证。</w:t>
            </w:r>
            <w:r/>
          </w:p>
          <w:p>
            <w:pPr>
              <w:spacing w:line="360" w:lineRule="auto"/>
              <w:rPr>
                <w:rFonts w:hint="eastAsia" w:hAnsi="宋体" w:cs="楷体"/>
                <w:b w:val="0"/>
                <w:position w:val="0"/>
                <w:szCs w:val="24"/>
              </w:rPr>
            </w:pPr>
            <w:r>
              <w:rPr>
                <w:rFonts w:hint="eastAsia" w:hAnsi="宋体" w:cs="楷体"/>
                <w:b w:val="0"/>
                <w:position w:val="0"/>
                <w:szCs w:val="24"/>
              </w:rPr>
              <w:t xml:space="preserve">中标价即为合同签约价。</w:t>
            </w:r>
            <w:r/>
          </w:p>
          <w:p>
            <w:pPr>
              <w:spacing w:line="360" w:lineRule="auto"/>
              <w:rPr>
                <w:rFonts w:hint="eastAsia" w:hAnsi="宋体" w:cs="楷体"/>
                <w:b w:val="0"/>
                <w:position w:val="0"/>
                <w:szCs w:val="24"/>
              </w:rPr>
            </w:pPr>
            <w:r>
              <w:rPr>
                <w:rFonts w:hint="eastAsia" w:hAnsi="宋体" w:cs="楷体"/>
                <w:b w:val="0"/>
                <w:position w:val="0"/>
                <w:szCs w:val="24"/>
              </w:rPr>
              <w:t xml:space="preserve">如出现报价前后不一致的，将按招标文件规定进行修正。</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2</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转包及分包</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项目依法不得转包</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A本项目不同意分包。</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B同意将非主体、非关键性的</w:t>
            </w:r>
            <w:r>
              <w:rPr>
                <w:rFonts w:hint="eastAsia" w:hAnsi="宋体" w:cs="楷体"/>
                <w:b w:val="0"/>
                <w:position w:val="0"/>
                <w:szCs w:val="24"/>
                <w:u w:val="single"/>
              </w:rPr>
              <w:t xml:space="preserve">             </w:t>
            </w:r>
            <w:r>
              <w:rPr>
                <w:rFonts w:hint="eastAsia" w:hAnsi="宋体" w:cs="楷体"/>
                <w:b w:val="0"/>
                <w:position w:val="0"/>
                <w:szCs w:val="24"/>
              </w:rPr>
              <w:t xml:space="preserve">工作分包。投标人应当在投标文件中载明分包承担主体，分包承担主体应当具备相应资质条件且不得再次分包。</w:t>
            </w:r>
            <w:r>
              <w:rPr>
                <w:rFonts w:hint="eastAsia" w:hAnsi="宋体"/>
                <w:b w:val="0"/>
                <w:position w:val="0"/>
                <w:szCs w:val="24"/>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3</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开标前答疑会</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A不组织</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B组织</w:t>
            </w:r>
            <w:r/>
          </w:p>
          <w:p>
            <w:pPr>
              <w:spacing w:line="360" w:lineRule="auto"/>
              <w:rPr>
                <w:rFonts w:hint="eastAsia" w:hAnsi="宋体" w:cs="楷体"/>
                <w:b w:val="0"/>
                <w:position w:val="0"/>
                <w:szCs w:val="24"/>
                <w:u w:val="single"/>
              </w:rPr>
            </w:pPr>
            <w:r>
              <w:rPr>
                <w:rFonts w:hint="eastAsia" w:hAnsi="宋体" w:cs="楷体"/>
                <w:b w:val="0"/>
                <w:position w:val="0"/>
                <w:szCs w:val="24"/>
              </w:rPr>
              <w:t xml:space="preserve">时间：</w:t>
            </w:r>
            <w:r>
              <w:rPr>
                <w:rFonts w:hint="eastAsia" w:hAnsi="宋体" w:cs="楷体"/>
                <w:b w:val="0"/>
                <w:position w:val="0"/>
                <w:szCs w:val="24"/>
                <w:u w:val="single"/>
              </w:rPr>
              <w:t xml:space="preserve">            </w:t>
            </w:r>
            <w:r/>
          </w:p>
          <w:p>
            <w:pPr>
              <w:spacing w:line="360" w:lineRule="auto"/>
              <w:rPr>
                <w:rFonts w:hint="eastAsia" w:hAnsi="宋体" w:cs="楷体"/>
                <w:b w:val="0"/>
                <w:position w:val="0"/>
                <w:szCs w:val="24"/>
                <w:u w:val="single"/>
              </w:rPr>
            </w:pPr>
            <w:r>
              <w:rPr>
                <w:rFonts w:hint="eastAsia" w:hAnsi="宋体" w:cs="楷体"/>
                <w:b w:val="0"/>
                <w:position w:val="0"/>
                <w:szCs w:val="24"/>
              </w:rPr>
              <w:t xml:space="preserve">地点：</w:t>
            </w:r>
            <w:r>
              <w:rPr>
                <w:rFonts w:hint="eastAsia" w:hAnsi="宋体" w:cs="楷体"/>
                <w:b w:val="0"/>
                <w:position w:val="0"/>
                <w:szCs w:val="24"/>
                <w:u w:val="single"/>
              </w:rPr>
              <w:t xml:space="preserve">           </w:t>
            </w:r>
            <w:r/>
          </w:p>
          <w:p>
            <w:pPr>
              <w:spacing w:line="360" w:lineRule="auto"/>
              <w:rPr>
                <w:rFonts w:hint="eastAsia" w:hAnsi="宋体" w:cs="仿宋_GB2312"/>
                <w:position w:val="0"/>
                <w:szCs w:val="24"/>
              </w:rPr>
            </w:pPr>
            <w:r>
              <w:rPr>
                <w:rFonts w:hint="eastAsia" w:hAnsi="宋体" w:cs="楷体"/>
                <w:b w:val="0"/>
                <w:position w:val="0"/>
                <w:szCs w:val="24"/>
              </w:rPr>
              <w:t xml:space="preserve">联系人：</w:t>
            </w:r>
            <w:r>
              <w:rPr>
                <w:rFonts w:hint="eastAsia" w:hAnsi="宋体" w:cs="楷体"/>
                <w:b w:val="0"/>
                <w:position w:val="0"/>
                <w:szCs w:val="24"/>
                <w:u w:val="single"/>
              </w:rPr>
              <w:t xml:space="preserve">             </w:t>
            </w:r>
            <w:r>
              <w:rPr>
                <w:rFonts w:hint="eastAsia" w:hAnsi="宋体" w:cs="楷体"/>
                <w:b w:val="0"/>
                <w:position w:val="0"/>
                <w:szCs w:val="24"/>
              </w:rPr>
              <w:t xml:space="preserve">联系方式：</w:t>
            </w:r>
            <w:r>
              <w:rPr>
                <w:rFonts w:hint="eastAsia" w:hAnsi="宋体" w:cs="楷体"/>
                <w:b w:val="0"/>
                <w:position w:val="0"/>
                <w:szCs w:val="24"/>
                <w:u w:val="single"/>
              </w:rPr>
              <w:t xml:space="preserve">        </w:t>
            </w:r>
            <w:r/>
          </w:p>
        </w:tc>
      </w:tr>
      <w:tr>
        <w:trPr>
          <w:jc w:val="center"/>
          <w:trHeight w:val="274"/>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4</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现场踏勘</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A不统一组织</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B统一组织</w:t>
            </w:r>
            <w:r/>
          </w:p>
          <w:p>
            <w:pPr>
              <w:spacing w:line="360" w:lineRule="auto"/>
              <w:rPr>
                <w:rFonts w:hint="eastAsia" w:hAnsi="宋体" w:cs="楷体"/>
                <w:b w:val="0"/>
                <w:position w:val="0"/>
                <w:szCs w:val="24"/>
                <w:u w:val="single"/>
              </w:rPr>
            </w:pPr>
            <w:r>
              <w:rPr>
                <w:rFonts w:hint="eastAsia" w:hAnsi="宋体" w:cs="楷体"/>
                <w:b w:val="0"/>
                <w:position w:val="0"/>
                <w:szCs w:val="24"/>
              </w:rPr>
              <w:t xml:space="preserve">时间：</w:t>
            </w:r>
            <w:r>
              <w:rPr>
                <w:rFonts w:hint="eastAsia" w:hAnsi="宋体" w:cs="楷体"/>
                <w:b w:val="0"/>
                <w:position w:val="0"/>
                <w:szCs w:val="24"/>
                <w:u w:val="single"/>
              </w:rPr>
              <w:t xml:space="preserve">            </w:t>
            </w:r>
            <w:r/>
          </w:p>
          <w:p>
            <w:pPr>
              <w:spacing w:line="360" w:lineRule="auto"/>
              <w:rPr>
                <w:rFonts w:hint="eastAsia" w:hAnsi="宋体" w:cs="楷体"/>
                <w:b w:val="0"/>
                <w:position w:val="0"/>
                <w:szCs w:val="24"/>
              </w:rPr>
            </w:pPr>
            <w:r>
              <w:rPr>
                <w:rFonts w:hint="eastAsia" w:hAnsi="宋体" w:cs="楷体"/>
                <w:b w:val="0"/>
                <w:position w:val="0"/>
                <w:szCs w:val="24"/>
              </w:rPr>
              <w:t xml:space="preserve">如投标人自行踏勘，相关信息如下：</w:t>
            </w:r>
            <w:r/>
          </w:p>
          <w:p>
            <w:pPr>
              <w:spacing w:line="360" w:lineRule="auto"/>
              <w:rPr>
                <w:rFonts w:hint="eastAsia" w:hAnsi="宋体" w:cs="楷体"/>
                <w:b w:val="0"/>
                <w:position w:val="0"/>
                <w:szCs w:val="24"/>
                <w:u w:val="single"/>
              </w:rPr>
            </w:pPr>
            <w:r>
              <w:rPr>
                <w:rFonts w:hint="eastAsia" w:hAnsi="宋体" w:cs="楷体"/>
                <w:b w:val="0"/>
                <w:position w:val="0"/>
                <w:szCs w:val="24"/>
              </w:rPr>
              <w:t xml:space="preserve">地点：</w:t>
            </w:r>
            <w:r>
              <w:rPr>
                <w:rFonts w:hint="eastAsia" w:hAnsi="宋体" w:cs="楷体"/>
                <w:b w:val="0"/>
                <w:position w:val="0"/>
                <w:szCs w:val="24"/>
                <w:u w:val="single"/>
              </w:rPr>
              <w:t xml:space="preserve">镇江市第一人民医院院内指定地点     </w:t>
            </w:r>
            <w:r/>
          </w:p>
          <w:p>
            <w:pPr>
              <w:spacing w:line="360" w:lineRule="auto"/>
              <w:rPr>
                <w:rFonts w:hint="eastAsia" w:hAnsi="宋体" w:cs="楷体"/>
                <w:b w:val="0"/>
                <w:position w:val="0"/>
                <w:szCs w:val="24"/>
              </w:rPr>
            </w:pPr>
            <w:r>
              <w:rPr>
                <w:rFonts w:hint="eastAsia" w:hAnsi="宋体" w:cs="楷体"/>
                <w:b w:val="0"/>
                <w:position w:val="0"/>
                <w:szCs w:val="24"/>
              </w:rPr>
              <w:t xml:space="preserve">联系人</w:t>
            </w:r>
            <w:r>
              <w:rPr>
                <w:rFonts w:hint="eastAsia" w:hAnsi="宋体" w:cs="楷体"/>
                <w:b w:val="0"/>
                <w:position w:val="0"/>
                <w:szCs w:val="24"/>
                <w:u w:val="single"/>
              </w:rPr>
              <w:t xml:space="preserve">： 陈老师  </w:t>
            </w:r>
            <w:r>
              <w:rPr>
                <w:rFonts w:hint="eastAsia" w:hAnsi="宋体" w:cs="楷体"/>
                <w:b w:val="0"/>
                <w:position w:val="0"/>
                <w:szCs w:val="24"/>
              </w:rPr>
              <w:t xml:space="preserve">联系方式：</w:t>
            </w:r>
            <w:r>
              <w:rPr>
                <w:rFonts w:hint="eastAsia" w:hAnsi="宋体" w:cs="楷体"/>
                <w:b w:val="0"/>
                <w:position w:val="0"/>
                <w:szCs w:val="24"/>
                <w:u w:val="single"/>
              </w:rPr>
              <w:t xml:space="preserve">15380229863 </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5</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演示</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A无</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B有，本项目演示使用录播上传形式，各投标人自行将录播内容上传至苏采云平台的演示模块。操作指南详见苏采云平台供应商操作手册。</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6</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样品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A不要求提供。</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B要求提供</w:t>
            </w:r>
            <w:r/>
          </w:p>
          <w:p>
            <w:pPr>
              <w:spacing w:line="360" w:lineRule="auto"/>
              <w:rPr>
                <w:rFonts w:hint="eastAsia" w:hAnsi="宋体" w:cs="楷体"/>
                <w:b w:val="0"/>
                <w:position w:val="0"/>
                <w:szCs w:val="24"/>
                <w:u w:val="single"/>
              </w:rPr>
            </w:pPr>
            <w:r>
              <w:rPr>
                <w:rFonts w:hint="eastAsia" w:hAnsi="宋体" w:cs="楷体"/>
                <w:b w:val="0"/>
                <w:position w:val="0"/>
                <w:szCs w:val="24"/>
              </w:rPr>
              <w:t xml:space="preserve">（1）样品：</w:t>
            </w:r>
            <w:r>
              <w:rPr>
                <w:rFonts w:hint="eastAsia" w:hAnsi="宋体" w:cs="楷体"/>
                <w:b w:val="0"/>
                <w:position w:val="0"/>
                <w:szCs w:val="24"/>
                <w:u w:val="single"/>
              </w:rPr>
              <w:t xml:space="preserve">         </w:t>
            </w:r>
            <w:r>
              <w:rPr>
                <w:rFonts w:hint="eastAsia" w:hAnsi="宋体" w:cs="楷体"/>
                <w:b w:val="0"/>
                <w:position w:val="0"/>
                <w:szCs w:val="24"/>
              </w:rPr>
              <w:t xml:space="preserve">；</w:t>
            </w:r>
            <w:r/>
          </w:p>
          <w:p>
            <w:pPr>
              <w:spacing w:line="360" w:lineRule="auto"/>
              <w:rPr>
                <w:rFonts w:hint="eastAsia" w:hAnsi="宋体" w:cs="楷体"/>
                <w:b w:val="0"/>
                <w:position w:val="0"/>
                <w:szCs w:val="24"/>
                <w:u w:val="single"/>
              </w:rPr>
            </w:pPr>
            <w:r>
              <w:rPr>
                <w:rFonts w:hint="eastAsia" w:hAnsi="宋体" w:cs="楷体"/>
                <w:b w:val="0"/>
                <w:position w:val="0"/>
                <w:szCs w:val="24"/>
              </w:rPr>
              <w:t xml:space="preserve">（2）样品制作的标准和要求：</w:t>
            </w:r>
            <w:r>
              <w:rPr>
                <w:rFonts w:hint="eastAsia" w:hAnsi="宋体" w:cs="楷体"/>
                <w:b w:val="0"/>
                <w:position w:val="0"/>
                <w:szCs w:val="24"/>
                <w:u w:val="single"/>
              </w:rPr>
              <w:t xml:space="preserve">        </w:t>
            </w:r>
            <w:r>
              <w:rPr>
                <w:rFonts w:hint="eastAsia" w:hAnsi="宋体" w:cs="楷体"/>
                <w:b w:val="0"/>
                <w:position w:val="0"/>
                <w:szCs w:val="24"/>
              </w:rPr>
              <w:t xml:space="preserve">；</w:t>
            </w:r>
            <w:r/>
          </w:p>
          <w:p>
            <w:pPr>
              <w:spacing w:line="360" w:lineRule="auto"/>
              <w:rPr>
                <w:rFonts w:hint="eastAsia" w:hAnsi="宋体" w:cs="楷体"/>
                <w:b w:val="0"/>
                <w:position w:val="0"/>
                <w:szCs w:val="24"/>
              </w:rPr>
            </w:pPr>
            <w:r>
              <w:rPr>
                <w:rFonts w:hint="eastAsia" w:hAnsi="宋体" w:cs="楷体"/>
                <w:b w:val="0"/>
                <w:position w:val="0"/>
                <w:szCs w:val="24"/>
              </w:rPr>
              <w:t xml:space="preserve">（3）样品的评审方法以及评审标准：详见评标办法；</w:t>
            </w:r>
            <w:r/>
          </w:p>
          <w:p>
            <w:pPr>
              <w:spacing w:line="360" w:lineRule="auto"/>
              <w:rPr>
                <w:rFonts w:hint="eastAsia" w:hAnsi="宋体" w:cs="楷体"/>
                <w:b w:val="0"/>
                <w:position w:val="0"/>
                <w:szCs w:val="24"/>
              </w:rPr>
            </w:pPr>
            <w:r>
              <w:rPr>
                <w:rFonts w:hint="eastAsia" w:hAnsi="宋体" w:cs="楷体"/>
                <w:b w:val="0"/>
                <w:position w:val="0"/>
                <w:szCs w:val="24"/>
              </w:rPr>
              <w:t xml:space="preserve">（4）是否需要随样品提交检测报告：</w:t>
            </w:r>
            <w:r>
              <w:rPr>
                <w:rFonts w:ascii="Wingdings 2" w:hAnsi="Wingdings 2" w:eastAsia="Wingdings 2" w:cs="Wingdings 2"/>
                <w:b w:val="0"/>
                <w:position w:val="0"/>
                <w:szCs w:val="24"/>
              </w:rPr>
              <w:t xml:space="preserve">£</w:t>
            </w:r>
            <w:r>
              <w:rPr>
                <w:rFonts w:hint="eastAsia" w:hAnsi="宋体" w:cs="楷体"/>
                <w:b w:val="0"/>
                <w:position w:val="0"/>
                <w:szCs w:val="24"/>
              </w:rPr>
              <w:t xml:space="preserve">否；</w:t>
            </w:r>
            <w:r>
              <w:rPr>
                <w:rFonts w:ascii="Wingdings 2" w:hAnsi="Wingdings 2" w:eastAsia="Wingdings 2" w:cs="Wingdings 2"/>
                <w:b w:val="0"/>
                <w:position w:val="0"/>
                <w:szCs w:val="24"/>
              </w:rPr>
              <w:t xml:space="preserve">£</w:t>
            </w:r>
            <w:r>
              <w:rPr>
                <w:rFonts w:hint="eastAsia" w:hAnsi="宋体" w:cs="楷体"/>
                <w:b w:val="0"/>
                <w:position w:val="0"/>
                <w:szCs w:val="24"/>
              </w:rPr>
              <w:t xml:space="preserve">是，检测机构的要求：</w:t>
            </w:r>
            <w:r>
              <w:rPr>
                <w:rFonts w:hint="eastAsia" w:hAnsi="宋体" w:cs="楷体"/>
                <w:b w:val="0"/>
                <w:position w:val="0"/>
                <w:szCs w:val="24"/>
                <w:u w:val="single"/>
              </w:rPr>
              <w:t xml:space="preserve">           </w:t>
            </w:r>
            <w:r>
              <w:rPr>
                <w:rFonts w:hint="eastAsia" w:hAnsi="宋体" w:cs="楷体"/>
                <w:b w:val="0"/>
                <w:position w:val="0"/>
                <w:szCs w:val="24"/>
              </w:rPr>
              <w:t xml:space="preserve">；检测内容：</w:t>
            </w:r>
            <w:r>
              <w:rPr>
                <w:rFonts w:hint="eastAsia" w:hAnsi="宋体" w:cs="楷体"/>
                <w:b w:val="0"/>
                <w:position w:val="0"/>
                <w:szCs w:val="24"/>
                <w:u w:val="single"/>
              </w:rPr>
              <w:t xml:space="preserve">          </w:t>
            </w:r>
            <w:r>
              <w:rPr>
                <w:rFonts w:hint="eastAsia" w:hAnsi="宋体" w:cs="楷体"/>
                <w:b w:val="0"/>
                <w:position w:val="0"/>
                <w:szCs w:val="24"/>
              </w:rPr>
              <w:t xml:space="preserve">。</w:t>
            </w:r>
            <w:r/>
          </w:p>
          <w:p>
            <w:pPr>
              <w:spacing w:line="360" w:lineRule="auto"/>
              <w:rPr>
                <w:rFonts w:hint="eastAsia" w:hAnsi="宋体" w:cs="楷体"/>
                <w:b w:val="0"/>
                <w:position w:val="0"/>
                <w:szCs w:val="24"/>
              </w:rPr>
            </w:pPr>
            <w:r>
              <w:rPr>
                <w:rFonts w:hint="eastAsia" w:hAnsi="宋体" w:cs="楷体"/>
                <w:b w:val="0"/>
                <w:position w:val="0"/>
                <w:szCs w:val="24"/>
              </w:rPr>
              <w:t xml:space="preserve">（5）提供样品的时间：</w:t>
            </w:r>
            <w:r>
              <w:rPr>
                <w:rFonts w:hint="eastAsia" w:hAnsi="宋体" w:cs="楷体"/>
                <w:b w:val="0"/>
                <w:position w:val="0"/>
                <w:szCs w:val="24"/>
                <w:u w:val="single"/>
              </w:rPr>
              <w:t xml:space="preserve">            </w:t>
            </w:r>
            <w:r>
              <w:rPr>
                <w:rFonts w:hint="eastAsia" w:hAnsi="宋体" w:cs="楷体"/>
                <w:b w:val="0"/>
                <w:position w:val="0"/>
                <w:szCs w:val="24"/>
              </w:rPr>
              <w:t xml:space="preserve">；地点：</w:t>
            </w:r>
            <w:r>
              <w:rPr>
                <w:rFonts w:hint="eastAsia" w:hAnsi="宋体" w:cs="楷体"/>
                <w:b w:val="0"/>
                <w:position w:val="0"/>
                <w:szCs w:val="24"/>
                <w:u w:val="single"/>
              </w:rPr>
              <w:t xml:space="preserve">            </w:t>
            </w:r>
            <w:r>
              <w:rPr>
                <w:rFonts w:hint="eastAsia" w:hAnsi="宋体" w:cs="楷体"/>
                <w:b w:val="0"/>
                <w:position w:val="0"/>
                <w:szCs w:val="24"/>
              </w:rPr>
              <w:t xml:space="preserve">；联系人：</w:t>
            </w:r>
            <w:r>
              <w:rPr>
                <w:rFonts w:hint="eastAsia" w:hAnsi="宋体" w:cs="楷体"/>
                <w:b w:val="0"/>
                <w:position w:val="0"/>
                <w:szCs w:val="24"/>
                <w:u w:val="single"/>
              </w:rPr>
              <w:t xml:space="preserve">         </w:t>
            </w:r>
            <w:r>
              <w:rPr>
                <w:rFonts w:hint="eastAsia" w:hAnsi="宋体" w:cs="楷体"/>
                <w:b w:val="0"/>
                <w:position w:val="0"/>
                <w:szCs w:val="24"/>
              </w:rPr>
              <w:t xml:space="preserve">，联系电话：</w:t>
            </w:r>
            <w:r>
              <w:rPr>
                <w:rFonts w:hint="eastAsia" w:hAnsi="宋体" w:cs="楷体"/>
                <w:b w:val="0"/>
                <w:position w:val="0"/>
                <w:szCs w:val="24"/>
                <w:u w:val="single"/>
              </w:rPr>
              <w:t xml:space="preserve">            </w:t>
            </w:r>
            <w:r>
              <w:rPr>
                <w:rFonts w:hint="eastAsia" w:hAnsi="宋体" w:cs="楷体"/>
                <w:b w:val="0"/>
                <w:position w:val="0"/>
                <w:szCs w:val="24"/>
              </w:rPr>
              <w:t xml:space="preserve"> 。请投标人在上述时间内提供样品并按规定位置安装完毕。超过截止时间的，采购人或采购代理机构将不予接收及安装，并将清场并封闭样品现场。</w:t>
            </w:r>
            <w:r/>
          </w:p>
          <w:p>
            <w:pPr>
              <w:spacing w:line="360" w:lineRule="auto"/>
              <w:rPr>
                <w:rFonts w:hint="eastAsia" w:hAnsi="宋体" w:cs="楷体"/>
                <w:b w:val="0"/>
                <w:position w:val="0"/>
                <w:szCs w:val="24"/>
              </w:rPr>
            </w:pPr>
            <w:r>
              <w:rPr>
                <w:rFonts w:hint="eastAsia" w:hAnsi="宋体" w:cs="楷体"/>
                <w:b w:val="0"/>
                <w:position w:val="0"/>
                <w:szCs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spacing w:line="360" w:lineRule="auto"/>
              <w:rPr>
                <w:rFonts w:hint="eastAsia" w:hAnsi="宋体" w:cs="楷体"/>
                <w:b w:val="0"/>
                <w:position w:val="0"/>
                <w:szCs w:val="24"/>
              </w:rPr>
            </w:pPr>
            <w:r>
              <w:rPr>
                <w:rFonts w:hint="eastAsia" w:hAnsi="宋体" w:cs="楷体"/>
                <w:b w:val="0"/>
                <w:position w:val="0"/>
                <w:szCs w:val="24"/>
              </w:rPr>
              <w:t xml:space="preserve">（7）制作、运输、安装和保管样品所发生的一切费用由投标人自理。</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7</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是否允许采购进口产品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A本项目不允许采购进口产品。</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8</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项目属性与核心产品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A货物类。</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B服务类。</w:t>
            </w:r>
            <w:r/>
          </w:p>
          <w:p>
            <w:pPr>
              <w:spacing w:line="360" w:lineRule="auto"/>
              <w:rPr>
                <w:rFonts w:hint="eastAsia" w:hAnsi="宋体" w:cs="楷体"/>
                <w:b w:val="0"/>
                <w:position w:val="0"/>
                <w:szCs w:val="24"/>
              </w:rPr>
            </w:pPr>
            <w:r>
              <w:rPr>
                <w:rFonts w:hint="eastAsia" w:hAnsi="宋体" w:cs="楷体"/>
                <w:b w:val="0"/>
                <w:position w:val="0"/>
                <w:szCs w:val="24"/>
              </w:rPr>
              <w:t xml:space="preserve">本项目核心产品为：医用液氧</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9</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采购标的对应的中小企业划分标准所属行业</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（1）标的：镇江市第一人民医院医用气体供应项目，属于</w:t>
            </w:r>
            <w:r>
              <w:rPr>
                <w:rFonts w:hint="eastAsia" w:hAnsi="宋体" w:cs="楷体"/>
                <w:b w:val="0"/>
                <w:position w:val="0"/>
                <w:szCs w:val="24"/>
                <w:u w:val="single"/>
              </w:rPr>
              <w:t xml:space="preserve">工业</w:t>
            </w:r>
            <w:r>
              <w:rPr>
                <w:rFonts w:hint="eastAsia" w:hAnsi="宋体" w:cs="楷体"/>
                <w:b w:val="0"/>
                <w:position w:val="0"/>
                <w:szCs w:val="24"/>
              </w:rPr>
              <w:t xml:space="preserve">行业；</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10</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节能产品、环境标志产品</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b w:val="0"/>
                <w:position w:val="0"/>
                <w:szCs w:val="24"/>
              </w:rPr>
              <w:t xml:space="preserve">供应商所投产品属于政府采购节能产品、环境标志产品品目清单范围的，</w:t>
            </w:r>
            <w:r>
              <w:rPr>
                <w:rFonts w:hint="eastAsia" w:hAnsi="宋体" w:cs="楷体"/>
                <w:b w:val="0"/>
                <w:position w:val="0"/>
                <w:szCs w:val="24"/>
              </w:rPr>
              <w:t xml:space="preserve">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11</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中小企业信用融资</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hAnsi="宋体" w:cs="楷体"/>
                <w:b w:val="0"/>
                <w:position w:val="0"/>
                <w:szCs w:val="24"/>
              </w:rPr>
              <w:t xml:space="preserve">镇江市财政局和中国人民银行镇江市中心支行联合印发《关于转发〈关于深入推进政府采购线上合同信用融资工作的通知〉的通知》</w:t>
            </w:r>
            <w:bookmarkEnd w:id="61"/>
            <w:r>
              <w:rPr>
                <w:rFonts w:hint="eastAsia" w:hAnsi="宋体" w:cs="楷体"/>
                <w:b w:val="0"/>
                <w:position w:val="0"/>
                <w:szCs w:val="24"/>
              </w:rPr>
              <w:t xml:space="preserve">，</w:t>
            </w:r>
            <w:bookmarkStart w:id="62" w:name="_Hlk136444446"/>
            <w:r>
              <w:rPr>
                <w:rFonts w:hint="eastAsia" w:hAnsi="宋体" w:cs="楷体"/>
                <w:b w:val="0"/>
                <w:position w:val="0"/>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hAnsi="宋体" w:cs="楷体"/>
                <w:b w:val="0"/>
                <w:position w:val="0"/>
                <w:szCs w:val="24"/>
              </w:rPr>
              <w:t xml:space="preserve">办理流程详见江苏政府采购网“政采贷”栏目，网址：</w:t>
            </w:r>
            <w:r>
              <w:rPr>
                <w:rFonts w:hAnsi="宋体" w:cs="楷体"/>
                <w:b w:val="0"/>
                <w:position w:val="0"/>
                <w:szCs w:val="24"/>
              </w:rPr>
              <w:t xml:space="preserve">http://www.ccgp-jiangsu.gov.cn/jiangsu/paying.html</w:t>
            </w:r>
            <w:r>
              <w:rPr>
                <w:rFonts w:hint="eastAsia" w:hAnsi="宋体" w:cs="楷体"/>
                <w:b w:val="0"/>
                <w:position w:val="0"/>
                <w:szCs w:val="24"/>
              </w:rPr>
              <w:t xml:space="preserve">咨询电话：镇江市财政局政府采购处0</w:t>
            </w:r>
            <w:r>
              <w:rPr>
                <w:rFonts w:hAnsi="宋体" w:cs="楷体"/>
                <w:b w:val="0"/>
                <w:position w:val="0"/>
                <w:szCs w:val="24"/>
              </w:rPr>
              <w:t xml:space="preserve">511-80909958</w:t>
            </w:r>
            <w:r>
              <w:rPr>
                <w:rFonts w:hint="eastAsia" w:hAnsi="宋体" w:cs="楷体"/>
                <w:b w:val="0"/>
                <w:position w:val="0"/>
                <w:szCs w:val="24"/>
              </w:rPr>
              <w:t xml:space="preserve">。</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12</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特别说明</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隶书"/>
                <w:b w:val="0"/>
                <w:position w:val="0"/>
                <w:szCs w:val="24"/>
              </w:rPr>
              <w:t xml:space="preserve">本项目支持《商品包装政府采购需求标准（试行）》《快递包装政府采购需求标准（试行）〉》（财办库〔2020〕123号）、《绿色数据中心政府采购需求标准（试行）》（财库〔2023〕7号）等政策</w:t>
            </w:r>
            <w:r>
              <w:rPr>
                <w:rFonts w:hint="eastAsia" w:hAnsi="宋体" w:cs="楷体"/>
                <w:b w:val="0"/>
                <w:position w:val="0"/>
                <w:szCs w:val="24"/>
              </w:rPr>
              <w:t xml:space="preserve">。</w:t>
            </w:r>
            <w:r/>
          </w:p>
        </w:tc>
      </w:tr>
    </w:tbl>
    <w:p>
      <w:pPr>
        <w:ind w:firstLine="420"/>
        <w:rPr>
          <w:rFonts w:ascii="Times New Roman"/>
          <w:b w:val="0"/>
          <w:position w:val="0"/>
          <w:sz w:val="21"/>
          <w:szCs w:val="24"/>
        </w:rPr>
      </w:pPr>
      <w:r>
        <w:rPr>
          <w:rFonts w:ascii="Times New Roman"/>
          <w:b w:val="0"/>
          <w:position w:val="0"/>
          <w:sz w:val="21"/>
          <w:szCs w:val="24"/>
        </w:rPr>
      </w:r>
      <w:r/>
    </w:p>
    <w:p>
      <w:r/>
      <w:r/>
    </w:p>
    <w:p>
      <w:pPr>
        <w:pStyle w:val="980"/>
        <w:ind w:firstLine="436"/>
        <w:spacing w:before="156" w:after="156" w:line="360" w:lineRule="auto"/>
        <w:rPr>
          <w:rStyle w:val="1083"/>
          <w:rFonts w:hint="eastAsia" w:ascii="宋体" w:hAnsi="宋体" w:cs="宋体"/>
        </w:rPr>
      </w:pPr>
      <w:r/>
      <w:bookmarkStart w:id="63" w:name="_Toc12175"/>
      <w:r/>
      <w:bookmarkStart w:id="64" w:name="_Toc16938519"/>
      <w:r/>
      <w:bookmarkStart w:id="65" w:name="_Toc120614214"/>
      <w:r/>
      <w:bookmarkStart w:id="66" w:name="_Toc513029203"/>
      <w:r/>
      <w:bookmarkStart w:id="67" w:name="_Toc174468328"/>
      <w:r/>
      <w:bookmarkStart w:id="68" w:name="_Toc174468371"/>
      <w:r/>
      <w:bookmarkStart w:id="69" w:name="_Toc20823275"/>
      <w:r>
        <w:rPr>
          <w:rStyle w:val="1083"/>
          <w:rFonts w:hint="eastAsia" w:ascii="宋体" w:hAnsi="宋体" w:cs="宋体"/>
        </w:rPr>
        <w:t xml:space="preserve">一、总则</w:t>
      </w:r>
      <w:bookmarkEnd w:id="63"/>
      <w:r/>
      <w:bookmarkEnd w:id="64"/>
      <w:r/>
      <w:bookmarkEnd w:id="65"/>
      <w:r/>
      <w:bookmarkEnd w:id="66"/>
      <w:r/>
      <w:bookmarkEnd w:id="67"/>
      <w:r/>
      <w:bookmarkEnd w:id="68"/>
      <w:r/>
      <w:bookmarkEnd w:id="69"/>
      <w:r/>
      <w:r/>
    </w:p>
    <w:p>
      <w:pPr>
        <w:pStyle w:val="981"/>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81"/>
        <w:ind w:firstLine="479"/>
        <w:spacing w:before="0" w:after="0" w:line="360" w:lineRule="auto"/>
        <w:rPr>
          <w:rFonts w:hint="eastAsia" w:ascii="宋体" w:hAnsi="宋体" w:eastAsia="宋体" w:cs="宋体"/>
        </w:rPr>
      </w:pPr>
      <w:r/>
      <w:bookmarkStart w:id="75" w:name="_Toc16938521"/>
      <w:r/>
      <w:bookmarkStart w:id="76" w:name="_Toc20823277"/>
      <w:r/>
      <w:bookmarkStart w:id="77" w:name="_Toc513029205"/>
      <w:r>
        <w:rPr>
          <w:rFonts w:ascii="宋体" w:hAnsi="宋体" w:eastAsia="宋体" w:cs="宋体"/>
        </w:rPr>
        <w:t xml:space="preserve">2、合格的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981"/>
        <w:ind w:firstLine="479"/>
        <w:spacing w:before="0" w:after="0" w:line="360" w:lineRule="auto"/>
        <w:rPr>
          <w:rFonts w:hint="eastAsia" w:ascii="宋体" w:hAnsi="宋体" w:eastAsia="宋体" w:cs="宋体"/>
        </w:rPr>
      </w:pPr>
      <w:r/>
      <w:bookmarkStart w:id="78" w:name="_Toc20823278"/>
      <w:r/>
      <w:bookmarkStart w:id="79" w:name="_Toc513029206"/>
      <w:r/>
      <w:bookmarkStart w:id="80" w:name="_Toc16938522"/>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981"/>
        <w:ind w:firstLine="479"/>
        <w:spacing w:before="0" w:after="0" w:line="360" w:lineRule="auto"/>
        <w:rPr>
          <w:rFonts w:hint="eastAsia" w:ascii="宋体" w:hAnsi="宋体" w:eastAsia="宋体" w:cs="宋体"/>
        </w:rPr>
      </w:pPr>
      <w:r/>
      <w:bookmarkStart w:id="81" w:name="_Toc16938523"/>
      <w:r/>
      <w:bookmarkStart w:id="82" w:name="_Toc513029207"/>
      <w:r/>
      <w:bookmarkStart w:id="83" w:name="_Toc462564067"/>
      <w:r/>
      <w:bookmarkStart w:id="84" w:name="_Toc20823279"/>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81"/>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81"/>
        <w:ind w:firstLine="479"/>
        <w:spacing w:before="0" w:after="0" w:line="360" w:lineRule="auto"/>
        <w:rPr>
          <w:rFonts w:hint="eastAsia" w:ascii="宋体" w:hAnsi="宋体" w:eastAsia="宋体" w:cs="宋体"/>
        </w:rPr>
      </w:pPr>
      <w:r>
        <w:rPr>
          <w:rFonts w:hint="eastAsia" w:ascii="宋体" w:hAnsi="宋体" w:eastAsia="宋体" w:cs="宋体"/>
        </w:rPr>
        <w:t xml:space="preserve">6、政策功能</w:t>
      </w:r>
      <w:r/>
    </w:p>
    <w:p>
      <w:pPr>
        <w:ind w:firstLine="480"/>
        <w:spacing w:line="360" w:lineRule="auto"/>
        <w:rPr>
          <w:rFonts w:hint="eastAsia" w:hAnsi="宋体"/>
          <w:b w:val="0"/>
          <w:position w:val="0"/>
          <w:szCs w:val="24"/>
        </w:rPr>
      </w:pPr>
      <w:r>
        <w:rPr>
          <w:rFonts w:hint="eastAsia" w:hAnsi="宋体"/>
          <w:b w:val="0"/>
          <w:position w:val="0"/>
          <w:szCs w:val="24"/>
        </w:rPr>
        <w:t xml:space="preserve">6.1支持中小企业发展</w:t>
      </w:r>
      <w:r/>
    </w:p>
    <w:p>
      <w:pPr>
        <w:ind w:firstLine="480"/>
        <w:spacing w:line="360" w:lineRule="auto"/>
        <w:rPr>
          <w:rFonts w:hint="eastAsia" w:hAnsi="宋体"/>
          <w:b w:val="0"/>
          <w:position w:val="0"/>
          <w:szCs w:val="24"/>
        </w:rPr>
      </w:pPr>
      <w:r>
        <w:rPr>
          <w:rFonts w:hint="eastAsia" w:hAnsi="宋体"/>
          <w:b w:val="0"/>
          <w:position w:val="0"/>
          <w:szCs w:val="24"/>
        </w:rPr>
        <w:t xml:space="preserve">6.1.1中小企业，是指在中华人民共和国境内依法设立，依据国务院批准的中小企业划分标准确定的中型企业、小型企业和微型企业，但与大企业的负责人为同一人，或者与大企业存在直接控股、管理关系的除外。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hAnsi="宋体"/>
          <w:b w:val="0"/>
          <w:position w:val="0"/>
          <w:szCs w:val="24"/>
        </w:rPr>
      </w:pPr>
      <w:r>
        <w:rPr>
          <w:rFonts w:hint="eastAsia" w:hAnsi="宋体"/>
          <w:b w:val="0"/>
          <w:position w:val="0"/>
          <w:szCs w:val="24"/>
        </w:rPr>
        <w:t xml:space="preserve">符合中小企业划分标准的个体工商户，在政府采购活动中视同中小企业。</w:t>
      </w:r>
      <w:r/>
    </w:p>
    <w:p>
      <w:pPr>
        <w:ind w:firstLine="480"/>
        <w:spacing w:line="360" w:lineRule="auto"/>
        <w:rPr>
          <w:rFonts w:hint="eastAsia" w:hAnsi="宋体"/>
          <w:b w:val="0"/>
          <w:position w:val="0"/>
          <w:szCs w:val="24"/>
        </w:rPr>
      </w:pPr>
      <w:r>
        <w:rPr>
          <w:rFonts w:hint="eastAsia" w:hAnsi="宋体"/>
          <w:b w:val="0"/>
          <w:position w:val="0"/>
          <w:szCs w:val="24"/>
        </w:rPr>
        <w:t xml:space="preserve">6.1.2在政府采购活动中，投标人提供的货物、工程或者服务符合下列情形的，享受中小企业扶持政策：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6.1.2.1在货物采购项目中，货物由中小企业制造，即货物由中小企业生产且使用该中小企业商号或者注册商标；</w:t>
      </w:r>
      <w:r/>
    </w:p>
    <w:p>
      <w:pPr>
        <w:ind w:firstLine="480"/>
        <w:spacing w:line="360" w:lineRule="auto"/>
        <w:rPr>
          <w:rFonts w:hint="eastAsia" w:hAnsi="宋体"/>
          <w:b w:val="0"/>
          <w:position w:val="0"/>
          <w:szCs w:val="24"/>
        </w:rPr>
      </w:pPr>
      <w:r>
        <w:rPr>
          <w:rFonts w:hint="eastAsia" w:hAnsi="宋体"/>
          <w:b w:val="0"/>
          <w:position w:val="0"/>
          <w:szCs w:val="24"/>
        </w:rPr>
        <w:t xml:space="preserve">6.1.2.2在工程采购项目中，工程由中小企业承建，即工程施工单位为中小企业；</w:t>
      </w:r>
      <w:r/>
    </w:p>
    <w:p>
      <w:pPr>
        <w:ind w:firstLine="480"/>
        <w:spacing w:line="360" w:lineRule="auto"/>
        <w:rPr>
          <w:rFonts w:hint="eastAsia" w:hAnsi="宋体"/>
          <w:b w:val="0"/>
          <w:position w:val="0"/>
          <w:szCs w:val="24"/>
        </w:rPr>
      </w:pPr>
      <w:r>
        <w:rPr>
          <w:rFonts w:hint="eastAsia" w:hAnsi="宋体"/>
          <w:b w:val="0"/>
          <w:position w:val="0"/>
          <w:szCs w:val="24"/>
        </w:rPr>
        <w:t xml:space="preserve">6.1.2.3在服务采购项目中，服务由中小企业承接，即提供服务的人员为中小企业依照《中华人民共和国劳动合同法》订立劳动合同的从业人员。</w:t>
      </w:r>
      <w:r/>
    </w:p>
    <w:p>
      <w:pPr>
        <w:ind w:firstLine="480"/>
        <w:spacing w:line="360" w:lineRule="auto"/>
        <w:rPr>
          <w:rFonts w:hint="eastAsia" w:hAnsi="宋体"/>
          <w:b w:val="0"/>
          <w:position w:val="0"/>
          <w:szCs w:val="24"/>
        </w:rPr>
      </w:pPr>
      <w:r>
        <w:rPr>
          <w:rFonts w:hint="eastAsia" w:hAnsi="宋体"/>
          <w:b w:val="0"/>
          <w:position w:val="0"/>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hAnsi="宋体"/>
          <w:b w:val="0"/>
          <w:position w:val="0"/>
          <w:szCs w:val="24"/>
        </w:rPr>
      </w:pPr>
      <w:r>
        <w:rPr>
          <w:rFonts w:hint="eastAsia" w:hAnsi="宋体"/>
          <w:b w:val="0"/>
          <w:position w:val="0"/>
          <w:szCs w:val="24"/>
        </w:rPr>
        <w:t xml:space="preserve">6.1.3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Ansi="宋体"/>
          <w:b w:val="0"/>
          <w:iCs/>
          <w:position w:val="0"/>
          <w:szCs w:val="24"/>
        </w:rPr>
        <w:t xml:space="preserve">10%</w:t>
      </w:r>
      <w:bookmarkEnd w:id="85"/>
      <w:r>
        <w:rPr>
          <w:rFonts w:hAnsi="宋体"/>
          <w:b w:val="0"/>
          <w:position w:val="0"/>
          <w:szCs w:val="24"/>
        </w:rPr>
        <w:t xml:space="preserve">的扣除，</w:t>
      </w:r>
      <w:bookmarkStart w:id="86" w:name="_Hlk132637893"/>
      <w:r>
        <w:rPr>
          <w:rFonts w:hAnsi="宋体"/>
          <w:b w:val="0"/>
          <w:position w:val="0"/>
          <w:szCs w:val="24"/>
        </w:rPr>
        <w:t xml:space="preserve">用扣除后的价格参与评审</w:t>
      </w:r>
      <w:bookmarkEnd w:id="86"/>
      <w:r>
        <w:rPr>
          <w:rFonts w:hAnsi="宋体"/>
          <w:b w:val="0"/>
          <w:position w:val="0"/>
          <w:szCs w:val="24"/>
        </w:rPr>
        <w:t xml:space="preserve">。接受大中型企业与小微企业组成联合体或者允许大中型企业向一家或者多家小微企业分包的</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货物或服务</w:t>
      </w:r>
      <w:r>
        <w:rPr>
          <w:rFonts w:hAnsi="宋体"/>
          <w:b w:val="0"/>
          <w:position w:val="0"/>
          <w:szCs w:val="24"/>
        </w:rPr>
        <w:t xml:space="preserve">项目，对于联合协议或者分包意向协议</w:t>
      </w:r>
      <w:r>
        <w:rPr>
          <w:rFonts w:hint="eastAsia" w:hAnsi="宋体"/>
          <w:b w:val="0"/>
          <w:bCs/>
          <w:position w:val="0"/>
          <w:szCs w:val="24"/>
        </w:rPr>
        <w:t xml:space="preserve">约定小型、微型企业的协议合同金额占到合同总金额30%以上的，给予联合体</w:t>
      </w:r>
      <w:r>
        <w:rPr>
          <w:rFonts w:hAnsi="宋体"/>
          <w:b w:val="0"/>
          <w:bCs/>
          <w:iCs/>
          <w:position w:val="0"/>
          <w:szCs w:val="24"/>
        </w:rPr>
        <w:t xml:space="preserve">6%</w:t>
      </w:r>
      <w:r>
        <w:rPr>
          <w:rFonts w:hint="eastAsia" w:hAnsi="宋体"/>
          <w:b w:val="0"/>
          <w:bCs/>
          <w:position w:val="0"/>
          <w:szCs w:val="24"/>
        </w:rPr>
        <w:t xml:space="preserve">的价格扣除。联合体各方均为小型、微型企业的，联合体视同为小型、微型企业享受</w:t>
      </w:r>
      <w:r>
        <w:rPr>
          <w:rFonts w:hAnsi="宋体"/>
          <w:b w:val="0"/>
          <w:iCs/>
          <w:position w:val="0"/>
          <w:szCs w:val="24"/>
        </w:rPr>
        <w:t xml:space="preserve">10%</w:t>
      </w:r>
      <w:r>
        <w:rPr>
          <w:rFonts w:hint="eastAsia" w:hAnsi="宋体"/>
          <w:b w:val="0"/>
          <w:bCs/>
          <w:position w:val="0"/>
          <w:szCs w:val="24"/>
        </w:rPr>
        <w:t xml:space="preserve">的价格扣除，</w:t>
      </w:r>
      <w:r>
        <w:rPr>
          <w:rFonts w:hAnsi="宋体"/>
          <w:b w:val="0"/>
          <w:position w:val="0"/>
          <w:szCs w:val="24"/>
        </w:rPr>
        <w:t xml:space="preserve">用扣除后的价格参与评审</w:t>
      </w:r>
      <w:r>
        <w:rPr>
          <w:rFonts w:hint="eastAsia" w:hAnsi="宋体"/>
          <w:b w:val="0"/>
          <w:bCs/>
          <w:position w:val="0"/>
          <w:szCs w:val="24"/>
        </w:rPr>
        <w:t xml:space="preserve">。</w:t>
      </w:r>
      <w:r>
        <w:rPr>
          <w:rFonts w:hint="eastAsia" w:hAnsi="宋体"/>
          <w:b w:val="0"/>
          <w:position w:val="0"/>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为专门面向中小微企业项目，评审时不再进行价格扣除）</w:t>
      </w:r>
      <w:r/>
    </w:p>
    <w:p>
      <w:pPr>
        <w:ind w:firstLine="480"/>
        <w:spacing w:line="360" w:lineRule="auto"/>
        <w:rPr>
          <w:rFonts w:hint="eastAsia" w:hAnsi="宋体"/>
          <w:b w:val="0"/>
          <w:bCs/>
          <w:position w:val="0"/>
          <w:szCs w:val="24"/>
        </w:rPr>
      </w:pPr>
      <w:r>
        <w:rPr>
          <w:rFonts w:hint="eastAsia" w:hAnsi="宋体"/>
          <w:b w:val="0"/>
          <w:position w:val="0"/>
          <w:szCs w:val="24"/>
        </w:rPr>
        <w:t xml:space="preserve">6.1.4</w:t>
      </w:r>
      <w:r>
        <w:rPr>
          <w:rFonts w:hint="eastAsia" w:hAnsi="宋体"/>
          <w:b w:val="0"/>
          <w:bCs/>
          <w:position w:val="0"/>
          <w:szCs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6.1.5根据《关于促进残疾人就业政府采购政策的通知》（财库〔2017〕141号）要求，残疾人福利性单位视同小型、微型企业，享受与小型、微型企业产品价格同比例扣除的优惠政策。符合条件的残疾人福利性单位应当提供《残疾人福</w:t>
      </w:r>
      <w:r>
        <w:rPr>
          <w:rFonts w:hint="eastAsia" w:hAnsi="宋体"/>
          <w:b w:val="0"/>
          <w:bCs/>
          <w:position w:val="0"/>
          <w:szCs w:val="24"/>
        </w:rPr>
        <w:t xml:space="preserve">利性单位声明函》，并对声明的真实性负责。</w:t>
      </w:r>
      <w:r/>
    </w:p>
    <w:p>
      <w:pPr>
        <w:ind w:firstLine="480"/>
        <w:spacing w:line="360" w:lineRule="auto"/>
        <w:rPr>
          <w:rFonts w:hint="eastAsia" w:hAnsi="宋体"/>
          <w:b w:val="0"/>
          <w:bCs/>
          <w:position w:val="0"/>
          <w:szCs w:val="24"/>
        </w:rPr>
      </w:pPr>
      <w:r>
        <w:rPr>
          <w:rFonts w:hint="eastAsia" w:hAnsi="宋体"/>
          <w:b w:val="0"/>
          <w:bCs/>
          <w:position w:val="0"/>
          <w:szCs w:val="24"/>
        </w:rPr>
        <w:t xml:space="preserve">6.1.6中小企业享受扶持政策获得政府采购合同的，小微企业不得将合同分包给大中型企业，中型企业不得将合同分包给大型企业。</w:t>
      </w:r>
      <w:r/>
    </w:p>
    <w:p>
      <w:pPr>
        <w:ind w:firstLine="478"/>
        <w:spacing w:line="360" w:lineRule="auto"/>
        <w:rPr>
          <w:rFonts w:hint="eastAsia" w:hAnsi="宋体"/>
          <w:b w:val="0"/>
          <w:position w:val="0"/>
          <w:szCs w:val="24"/>
        </w:rPr>
      </w:pPr>
      <w:r>
        <w:rPr>
          <w:rFonts w:hint="eastAsia" w:hAnsi="宋体"/>
          <w:b w:val="0"/>
          <w:position w:val="0"/>
          <w:szCs w:val="24"/>
        </w:rPr>
        <w:t xml:space="preserve">6.2强制采购信息安全产品</w:t>
      </w:r>
      <w:r/>
    </w:p>
    <w:p>
      <w:pPr>
        <w:ind w:firstLine="478"/>
        <w:spacing w:line="360" w:lineRule="auto"/>
        <w:rPr>
          <w:rFonts w:hint="eastAsia" w:hAnsi="宋体"/>
          <w:b w:val="0"/>
          <w:position w:val="0"/>
          <w:szCs w:val="24"/>
        </w:rPr>
      </w:pPr>
      <w:r>
        <w:rPr>
          <w:rFonts w:hint="eastAsia" w:hAnsi="宋体"/>
          <w:b w:val="0"/>
          <w:position w:val="0"/>
          <w:szCs w:val="24"/>
        </w:rPr>
        <w:t xml:space="preserve">信息安全产品指国家质检总局国家认监委《信息安全产品强制性认证目录》，并获得强制性产品认证证书的产品。</w:t>
      </w:r>
      <w:r/>
    </w:p>
    <w:p>
      <w:pPr>
        <w:ind w:firstLine="478"/>
        <w:spacing w:line="360" w:lineRule="auto"/>
        <w:rPr>
          <w:rFonts w:hint="eastAsia" w:hAnsi="宋体"/>
          <w:b w:val="0"/>
          <w:position w:val="0"/>
          <w:szCs w:val="24"/>
        </w:rPr>
      </w:pPr>
      <w:r>
        <w:rPr>
          <w:rFonts w:hint="eastAsia" w:hAnsi="宋体"/>
          <w:b w:val="0"/>
          <w:position w:val="0"/>
          <w:szCs w:val="24"/>
        </w:rPr>
        <w:t xml:space="preserve">6.3支持绿色发展</w:t>
      </w:r>
      <w:r/>
    </w:p>
    <w:p>
      <w:pPr>
        <w:ind w:firstLine="478"/>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.3.1</w:t>
      </w:r>
      <w:r>
        <w:rPr>
          <w:rFonts w:hint="eastAsia" w:hAnsi="宋体"/>
          <w:b w:val="0"/>
          <w:position w:val="0"/>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3.2</w:t>
      </w:r>
      <w:r>
        <w:rPr>
          <w:rFonts w:hint="eastAsia" w:hAnsi="宋体"/>
          <w:b w:val="0"/>
          <w:position w:val="0"/>
          <w:szCs w:val="24"/>
        </w:rPr>
        <w:t xml:space="preserve">本项目中涉及商品包装和快递包装的，参考《财政部办公厅关于印发《商品包装政府采购需求标准（试行）》、《快递包装政府采购需求标准（试行）》的通知》</w:t>
      </w:r>
      <w:bookmarkStart w:id="87" w:name="_Hlk132634610"/>
      <w:r>
        <w:rPr>
          <w:rFonts w:hint="eastAsia" w:hAnsi="宋体"/>
          <w:b w:val="0"/>
          <w:position w:val="0"/>
          <w:szCs w:val="24"/>
        </w:rPr>
        <w:t xml:space="preserve">（财办库〔2020〕123号）</w:t>
      </w:r>
      <w:bookmarkEnd w:id="87"/>
      <w:r>
        <w:rPr>
          <w:rFonts w:hint="eastAsia" w:hAnsi="宋体"/>
          <w:b w:val="0"/>
          <w:position w:val="0"/>
          <w:szCs w:val="24"/>
        </w:rPr>
        <w:t xml:space="preserve">规定的包装需求标准。</w:t>
      </w:r>
      <w:r/>
    </w:p>
    <w:p>
      <w:pPr>
        <w:ind w:firstLine="478"/>
        <w:spacing w:line="360" w:lineRule="auto"/>
        <w:rPr>
          <w:rFonts w:hint="eastAsia" w:hAnsi="宋体"/>
          <w:b w:val="0"/>
          <w:position w:val="0"/>
          <w:szCs w:val="24"/>
        </w:rPr>
      </w:pPr>
      <w:r>
        <w:rPr>
          <w:rFonts w:hint="eastAsia" w:hAnsi="宋体"/>
          <w:b w:val="0"/>
          <w:position w:val="0"/>
          <w:szCs w:val="24"/>
        </w:rPr>
        <w:t xml:space="preserve">6.3.3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spacing w:line="360" w:lineRule="auto"/>
        <w:rPr>
          <w:rFonts w:hint="eastAsia" w:hAnsi="宋体"/>
          <w:b w:val="0"/>
          <w:position w:val="0"/>
          <w:szCs w:val="24"/>
        </w:rPr>
      </w:pPr>
      <w:r>
        <w:rPr>
          <w:rFonts w:hint="eastAsia" w:hAnsi="宋体"/>
          <w:b w:val="0"/>
          <w:position w:val="0"/>
          <w:szCs w:val="24"/>
        </w:rPr>
        <w:t xml:space="preserve">6.3.4采购人采购数据中心相关设备、运维服务，按照《绿色数据中心政府采购需求标准（试行）》实施相关采购活动。</w:t>
      </w:r>
      <w:r/>
    </w:p>
    <w:p>
      <w:pPr>
        <w:ind w:firstLine="478"/>
        <w:spacing w:line="360" w:lineRule="auto"/>
        <w:rPr>
          <w:rFonts w:hint="eastAsia" w:hAnsi="宋体"/>
          <w:b w:val="0"/>
          <w:position w:val="0"/>
          <w:szCs w:val="24"/>
        </w:rPr>
      </w:pPr>
      <w:r>
        <w:rPr>
          <w:rFonts w:hint="eastAsia" w:hAnsi="宋体"/>
          <w:b w:val="0"/>
          <w:position w:val="0"/>
          <w:szCs w:val="24"/>
        </w:rPr>
        <w:t xml:space="preserve">6.4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hAnsi="宋体"/>
          <w:b w:val="0"/>
          <w:position w:val="0"/>
          <w:szCs w:val="24"/>
        </w:rPr>
      </w:pPr>
      <w:r>
        <w:rPr>
          <w:rFonts w:hint="eastAsia" w:hAnsi="宋体"/>
          <w:b w:val="0"/>
          <w:position w:val="0"/>
          <w:szCs w:val="24"/>
        </w:rPr>
        <w:t xml:space="preserve">6.5支持创新发展</w:t>
      </w:r>
      <w:r/>
    </w:p>
    <w:p>
      <w:pPr>
        <w:ind w:firstLine="478"/>
        <w:spacing w:line="360" w:lineRule="auto"/>
        <w:rPr>
          <w:rFonts w:hint="eastAsia" w:hAnsi="宋体"/>
          <w:b w:val="0"/>
          <w:position w:val="0"/>
          <w:szCs w:val="24"/>
        </w:rPr>
      </w:pPr>
      <w:r>
        <w:rPr>
          <w:rFonts w:hint="eastAsia" w:hAnsi="宋体"/>
          <w:b w:val="0"/>
          <w:position w:val="0"/>
          <w:szCs w:val="24"/>
        </w:rPr>
        <w:t xml:space="preserve">6.5.1采购人优先采购被认定为重点推广应用、首台（套）重大装备、重点领域首版次软件的自主创新产品。</w:t>
      </w:r>
      <w:r/>
    </w:p>
    <w:p>
      <w:pPr>
        <w:ind w:firstLine="478"/>
        <w:spacing w:line="360" w:lineRule="auto"/>
        <w:rPr>
          <w:rFonts w:hint="eastAsia" w:hAnsi="宋体"/>
          <w:b w:val="0"/>
          <w:position w:val="0"/>
          <w:szCs w:val="24"/>
        </w:rPr>
      </w:pPr>
      <w:r>
        <w:rPr>
          <w:rFonts w:hint="eastAsia" w:hAnsi="宋体"/>
          <w:b w:val="0"/>
          <w:position w:val="0"/>
          <w:szCs w:val="24"/>
        </w:rPr>
        <w:t xml:space="preserve">6.6平等对待内外资企业和符合条件的破产重整企业</w:t>
      </w:r>
      <w:r/>
    </w:p>
    <w:p>
      <w:pPr>
        <w:ind w:firstLine="480"/>
        <w:spacing w:line="360" w:lineRule="auto"/>
        <w:rPr>
          <w:rFonts w:hint="eastAsia" w:hAnsi="宋体" w:cs="宋体"/>
          <w:b w:val="0"/>
          <w:bCs/>
          <w:szCs w:val="24"/>
        </w:rPr>
      </w:pPr>
      <w:r>
        <w:rPr>
          <w:rFonts w:hint="eastAsia" w:hAnsi="宋体"/>
          <w:b w:val="0"/>
          <w:position w:val="0"/>
          <w:szCs w:val="24"/>
        </w:rPr>
        <w:t xml:space="preserve">6.6.1平等对待内外资企业和符合条件的破产重整企业，切实保障企业公平</w:t>
      </w:r>
      <w:r>
        <w:rPr>
          <w:rFonts w:hint="eastAsia" w:hAnsi="宋体"/>
          <w:b w:val="0"/>
          <w:position w:val="0"/>
          <w:szCs w:val="24"/>
        </w:rPr>
        <w:t xml:space="preserve">竞争，平等维护企业的合法利益。</w:t>
      </w:r>
      <w:r/>
    </w:p>
    <w:p>
      <w:pPr>
        <w:pStyle w:val="980"/>
        <w:ind w:firstLine="436"/>
        <w:spacing w:before="156" w:after="156" w:line="360" w:lineRule="auto"/>
        <w:rPr>
          <w:rStyle w:val="1083"/>
          <w:rFonts w:hint="eastAsia" w:ascii="宋体" w:hAnsi="宋体" w:cs="宋体"/>
        </w:rPr>
      </w:pPr>
      <w:r/>
      <w:bookmarkStart w:id="88" w:name="_Toc27798"/>
      <w:r/>
      <w:bookmarkStart w:id="89" w:name="_Toc120614215"/>
      <w:r/>
      <w:bookmarkStart w:id="90" w:name="_Toc20823281"/>
      <w:r/>
      <w:bookmarkStart w:id="91" w:name="_Toc16938525"/>
      <w:r/>
      <w:bookmarkStart w:id="92" w:name="_Toc513029209"/>
      <w:r/>
      <w:bookmarkStart w:id="93" w:name="_Toc174468372"/>
      <w:r/>
      <w:bookmarkStart w:id="94" w:name="_Toc174468329"/>
      <w:r>
        <w:rPr>
          <w:rStyle w:val="1083"/>
          <w:rFonts w:hint="eastAsia" w:ascii="宋体" w:hAnsi="宋体" w:cs="宋体"/>
        </w:rPr>
        <w:t xml:space="preserve">二、</w:t>
      </w:r>
      <w:bookmarkEnd w:id="88"/>
      <w:r/>
      <w:bookmarkEnd w:id="89"/>
      <w:r/>
      <w:bookmarkEnd w:id="90"/>
      <w:r/>
      <w:bookmarkEnd w:id="91"/>
      <w:r/>
      <w:bookmarkEnd w:id="92"/>
      <w:r>
        <w:rPr>
          <w:rStyle w:val="1083"/>
          <w:rFonts w:hint="eastAsia" w:ascii="宋体" w:hAnsi="宋体" w:cs="宋体"/>
        </w:rPr>
        <w:t xml:space="preserve">招标文件</w:t>
      </w:r>
      <w:bookmarkEnd w:id="93"/>
      <w:r/>
      <w:bookmarkEnd w:id="94"/>
      <w:r/>
      <w:r/>
    </w:p>
    <w:p>
      <w:pPr>
        <w:pStyle w:val="981"/>
        <w:ind w:firstLine="479"/>
        <w:spacing w:before="0" w:after="0" w:line="360" w:lineRule="auto"/>
        <w:rPr>
          <w:rFonts w:hint="eastAsia" w:ascii="宋体" w:hAnsi="宋体" w:eastAsia="宋体" w:cs="宋体"/>
        </w:rPr>
      </w:pPr>
      <w:r/>
      <w:bookmarkStart w:id="95" w:name="_Toc20823282"/>
      <w:r/>
      <w:bookmarkStart w:id="96" w:name="_Toc513029210"/>
      <w:r/>
      <w:bookmarkStart w:id="97" w:name="_Toc16938526"/>
      <w:r>
        <w:rPr>
          <w:rFonts w:ascii="宋体" w:hAnsi="宋体" w:eastAsia="宋体" w:cs="宋体"/>
        </w:rPr>
        <w:t xml:space="preserve">6、招标文件构成</w:t>
      </w:r>
      <w:bookmarkEnd w:id="95"/>
      <w:r/>
      <w:bookmarkEnd w:id="96"/>
      <w:r/>
      <w:bookmarkEnd w:id="97"/>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81"/>
        <w:ind w:firstLine="479"/>
        <w:spacing w:before="0" w:after="0" w:line="360" w:lineRule="auto"/>
        <w:rPr>
          <w:rFonts w:hint="eastAsia" w:ascii="宋体" w:hAnsi="宋体" w:eastAsia="宋体" w:cs="宋体"/>
        </w:rPr>
      </w:pPr>
      <w:r/>
      <w:bookmarkStart w:id="98" w:name="_Toc462564070"/>
      <w:r/>
      <w:bookmarkStart w:id="99" w:name="_Toc16938527"/>
      <w:r/>
      <w:bookmarkStart w:id="100" w:name="_Toc20823283"/>
      <w:r/>
      <w:bookmarkStart w:id="101" w:name="_Toc513029211"/>
      <w:r>
        <w:rPr>
          <w:rFonts w:ascii="宋体" w:hAnsi="宋体" w:eastAsia="宋体" w:cs="宋体"/>
        </w:rPr>
        <w:t xml:space="preserve">7、招标文件的澄清</w:t>
      </w:r>
      <w:bookmarkEnd w:id="98"/>
      <w:r/>
      <w:bookmarkEnd w:id="99"/>
      <w:r/>
      <w:bookmarkEnd w:id="100"/>
      <w:r/>
      <w:bookmarkEnd w:id="101"/>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81"/>
        <w:ind w:firstLine="479"/>
        <w:spacing w:before="0" w:after="0" w:line="360" w:lineRule="auto"/>
        <w:rPr>
          <w:rFonts w:hint="eastAsia" w:ascii="宋体" w:hAnsi="宋体" w:eastAsia="宋体" w:cs="宋体"/>
        </w:rPr>
      </w:pPr>
      <w:r/>
      <w:bookmarkStart w:id="102" w:name="_Toc20823284"/>
      <w:r/>
      <w:bookmarkStart w:id="103" w:name="_Toc513029212"/>
      <w:r/>
      <w:bookmarkStart w:id="104" w:name="_Toc462564071"/>
      <w:r/>
      <w:bookmarkStart w:id="105" w:name="_Toc16938528"/>
      <w:r>
        <w:rPr>
          <w:rFonts w:ascii="宋体" w:hAnsi="宋体" w:eastAsia="宋体" w:cs="宋体"/>
        </w:rPr>
        <w:t xml:space="preserve">8、招标文件的修改</w:t>
      </w:r>
      <w:bookmarkEnd w:id="102"/>
      <w:r/>
      <w:bookmarkEnd w:id="103"/>
      <w:r/>
      <w:bookmarkEnd w:id="104"/>
      <w:r/>
      <w:bookmarkEnd w:id="105"/>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80"/>
        <w:ind w:firstLine="481"/>
        <w:spacing w:before="156" w:after="156" w:line="360" w:lineRule="auto"/>
        <w:rPr>
          <w:rStyle w:val="1083"/>
          <w:rFonts w:hint="eastAsia" w:ascii="宋体" w:hAnsi="宋体" w:cs="宋体"/>
        </w:rPr>
      </w:pPr>
      <w:r/>
      <w:bookmarkStart w:id="106" w:name="_Toc120614216"/>
      <w:r/>
      <w:bookmarkStart w:id="107" w:name="_Toc20823285"/>
      <w:r/>
      <w:bookmarkStart w:id="108" w:name="_Toc513029213"/>
      <w:r/>
      <w:bookmarkStart w:id="109" w:name="_Toc174468330"/>
      <w:r/>
      <w:bookmarkStart w:id="110" w:name="_Toc22457"/>
      <w:r/>
      <w:bookmarkStart w:id="111" w:name="_Toc174468373"/>
      <w:r/>
      <w:bookmarkStart w:id="112" w:name="_Toc462564072"/>
      <w:r/>
      <w:bookmarkStart w:id="113" w:name="_Toc16938529"/>
      <w:r>
        <w:rPr>
          <w:rStyle w:val="1083"/>
          <w:rFonts w:hint="eastAsia" w:ascii="宋体" w:hAnsi="宋体" w:cs="宋体"/>
        </w:rPr>
        <w:t xml:space="preserve">三、投标文件的编制</w:t>
      </w:r>
      <w:bookmarkEnd w:id="106"/>
      <w:r/>
      <w:bookmarkEnd w:id="107"/>
      <w:r/>
      <w:bookmarkEnd w:id="108"/>
      <w:r/>
      <w:bookmarkEnd w:id="109"/>
      <w:r/>
      <w:bookmarkEnd w:id="110"/>
      <w:r/>
      <w:bookmarkEnd w:id="111"/>
      <w:r/>
      <w:bookmarkEnd w:id="112"/>
      <w:r/>
      <w:bookmarkEnd w:id="113"/>
      <w:r/>
      <w:r/>
    </w:p>
    <w:p>
      <w:pPr>
        <w:pStyle w:val="981"/>
        <w:ind w:firstLine="479"/>
        <w:spacing w:before="0" w:after="0" w:line="360" w:lineRule="auto"/>
        <w:rPr>
          <w:rFonts w:hint="eastAsia" w:ascii="宋体" w:hAnsi="宋体" w:eastAsia="宋体" w:cs="宋体"/>
        </w:rPr>
      </w:pPr>
      <w:r/>
      <w:bookmarkStart w:id="114" w:name="_Toc20823286"/>
      <w:r/>
      <w:bookmarkStart w:id="115" w:name="_Toc513029214"/>
      <w:r/>
      <w:bookmarkStart w:id="116" w:name="_Toc462564073"/>
      <w:r/>
      <w:bookmarkStart w:id="117" w:name="_Toc16938530"/>
      <w:r>
        <w:rPr>
          <w:rFonts w:ascii="宋体" w:hAnsi="宋体" w:eastAsia="宋体" w:cs="宋体"/>
        </w:rPr>
        <w:t xml:space="preserve">9、投标文件的语言及度量衡单位</w:t>
      </w:r>
      <w:bookmarkEnd w:id="114"/>
      <w:r/>
      <w:bookmarkEnd w:id="115"/>
      <w:r/>
      <w:bookmarkEnd w:id="116"/>
      <w:r/>
      <w:bookmarkEnd w:id="117"/>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81"/>
        <w:ind w:firstLine="479"/>
        <w:spacing w:before="0" w:after="0" w:line="360" w:lineRule="auto"/>
        <w:rPr>
          <w:rFonts w:hint="eastAsia" w:ascii="宋体" w:hAnsi="宋体" w:eastAsia="宋体" w:cs="宋体"/>
        </w:rPr>
      </w:pPr>
      <w:r/>
      <w:bookmarkStart w:id="118" w:name="_Toc462564074"/>
      <w:r/>
      <w:bookmarkStart w:id="119" w:name="_Toc16938531"/>
      <w:r/>
      <w:bookmarkStart w:id="120" w:name="_Toc20823287"/>
      <w:r/>
      <w:bookmarkStart w:id="121" w:name="_Toc513029215"/>
      <w:r>
        <w:rPr>
          <w:rFonts w:ascii="宋体" w:hAnsi="宋体" w:eastAsia="宋体" w:cs="宋体"/>
        </w:rPr>
        <w:t xml:space="preserve">10、投标文件构成</w:t>
      </w:r>
      <w:bookmarkEnd w:id="118"/>
      <w:r/>
      <w:bookmarkEnd w:id="119"/>
      <w:r/>
      <w:bookmarkEnd w:id="120"/>
      <w:r/>
      <w:bookmarkEnd w:id="121"/>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81"/>
        <w:ind w:firstLine="479"/>
        <w:spacing w:before="0" w:after="0" w:line="360" w:lineRule="auto"/>
        <w:rPr>
          <w:rFonts w:hint="eastAsia" w:ascii="宋体" w:hAnsi="宋体" w:eastAsia="宋体" w:cs="宋体"/>
        </w:rPr>
      </w:pPr>
      <w:r/>
      <w:bookmarkStart w:id="122" w:name="_Hlt26670360"/>
      <w:r/>
      <w:bookmarkStart w:id="123" w:name="_Hlt26668975"/>
      <w:r/>
      <w:bookmarkStart w:id="124" w:name="_Hlt26954838"/>
      <w:r/>
      <w:bookmarkStart w:id="125" w:name="_Toc513029219"/>
      <w:r/>
      <w:bookmarkStart w:id="126" w:name="_Toc49090509"/>
      <w:r/>
      <w:bookmarkStart w:id="127" w:name="_Toc14577357"/>
      <w:r/>
      <w:bookmarkStart w:id="128" w:name="_Toc513029216"/>
      <w:r/>
      <w:bookmarkStart w:id="129" w:name="_Toc14577354"/>
      <w:r/>
      <w:bookmarkStart w:id="130" w:name="_Toc49090507"/>
      <w:r/>
      <w:bookmarkEnd w:id="122"/>
      <w:r/>
      <w:bookmarkEnd w:id="123"/>
      <w:r/>
      <w:bookmarkEnd w:id="124"/>
      <w:r>
        <w:rPr>
          <w:rFonts w:ascii="宋体" w:hAnsi="宋体" w:eastAsia="宋体" w:cs="宋体"/>
        </w:rPr>
        <w:t xml:space="preserve">11、证明投标人资格及投标符合招标文件规定的其它文件</w:t>
      </w:r>
      <w:bookmarkEnd w:id="125"/>
      <w:r/>
      <w:bookmarkEnd w:id="126"/>
      <w:r/>
      <w:bookmarkEnd w:id="127"/>
      <w:r/>
      <w:r/>
    </w:p>
    <w:p>
      <w:pPr>
        <w:ind w:firstLine="480"/>
        <w:spacing w:line="360" w:lineRule="auto"/>
        <w:rPr>
          <w:rFonts w:hint="eastAsia" w:hAnsi="宋体" w:cs="宋体"/>
          <w:b w:val="0"/>
          <w:bCs/>
        </w:rPr>
      </w:pPr>
      <w:r>
        <w:rPr>
          <w:rFonts w:hAnsi="宋体" w:cs="宋体"/>
          <w:b w:val="0"/>
          <w:bCs/>
        </w:rPr>
        <w:t xml:space="preserve">11.1</w:t>
      </w:r>
      <w:bookmarkStart w:id="131" w:name="_Hlt26668999"/>
      <w:r/>
      <w:bookmarkEnd w:id="131"/>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81"/>
        <w:ind w:firstLine="479"/>
        <w:spacing w:before="0" w:after="0" w:line="360" w:lineRule="auto"/>
        <w:rPr>
          <w:rFonts w:hint="eastAsia" w:ascii="宋体" w:hAnsi="宋体" w:eastAsia="宋体" w:cs="宋体"/>
        </w:rPr>
      </w:pPr>
      <w:r/>
      <w:bookmarkStart w:id="132" w:name="_Toc14577355"/>
      <w:r/>
      <w:bookmarkStart w:id="133" w:name="_Toc49090508"/>
      <w:r/>
      <w:bookmarkEnd w:id="128"/>
      <w:r/>
      <w:bookmarkEnd w:id="129"/>
      <w:r/>
      <w:bookmarkEnd w:id="130"/>
      <w:r>
        <w:rPr>
          <w:rFonts w:ascii="宋体" w:hAnsi="宋体" w:eastAsia="宋体" w:cs="宋体"/>
        </w:rPr>
        <w:t xml:space="preserve">12、开标一览表和分项报价</w:t>
      </w:r>
      <w:bookmarkStart w:id="134" w:name="_Hlt26670373"/>
      <w:r/>
      <w:bookmarkEnd w:id="132"/>
      <w:r/>
      <w:bookmarkEnd w:id="134"/>
      <w:r>
        <w:rPr>
          <w:rFonts w:hint="eastAsia" w:ascii="宋体" w:hAnsi="宋体" w:eastAsia="宋体" w:cs="宋体"/>
        </w:rPr>
        <w:t xml:space="preserve">表</w:t>
      </w:r>
      <w:bookmarkEnd w:id="133"/>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5" w:name="_Hlt26670399"/>
      <w:r/>
      <w:bookmarkEnd w:id="135"/>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6" w:name="_Hlt26670486"/>
      <w:r/>
      <w:bookmarkStart w:id="137" w:name="_Hlt26954731"/>
      <w:r/>
      <w:bookmarkStart w:id="138" w:name="_Hlt26954846"/>
      <w:r/>
      <w:bookmarkStart w:id="139" w:name="_Hlt26954848"/>
      <w:r/>
      <w:bookmarkStart w:id="140" w:name="_Hlt26670482"/>
      <w:r/>
      <w:bookmarkEnd w:id="136"/>
      <w:r/>
      <w:bookmarkEnd w:id="137"/>
      <w:r/>
      <w:bookmarkEnd w:id="138"/>
      <w:r/>
      <w:bookmarkEnd w:id="139"/>
      <w:r/>
      <w:bookmarkEnd w:id="140"/>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81"/>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81"/>
        <w:ind w:firstLine="479"/>
        <w:spacing w:before="0" w:after="0" w:line="360" w:lineRule="auto"/>
        <w:rPr>
          <w:rFonts w:hint="eastAsia" w:ascii="宋体" w:hAnsi="宋体" w:eastAsia="宋体" w:cs="宋体"/>
        </w:rPr>
      </w:pPr>
      <w:r/>
      <w:bookmarkStart w:id="141" w:name="_Toc14577359"/>
      <w:r/>
      <w:bookmarkStart w:id="142" w:name="_Toc49090510"/>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981"/>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41"/>
      <w:r/>
      <w:bookmarkEnd w:id="142"/>
      <w:r/>
      <w:r/>
    </w:p>
    <w:p>
      <w:pPr>
        <w:ind w:firstLine="480"/>
        <w:spacing w:line="360" w:lineRule="auto"/>
        <w:rPr>
          <w:rFonts w:hint="eastAsia" w:hAnsi="宋体" w:cs="宋体"/>
          <w:b w:val="0"/>
          <w:bCs/>
        </w:rPr>
      </w:pPr>
      <w:r/>
      <w:bookmarkStart w:id="143" w:name="_Hlt26954850"/>
      <w:r/>
      <w:bookmarkStart w:id="144" w:name="_Hlt26954734"/>
      <w:r/>
      <w:bookmarkStart w:id="145" w:name="_Hlt26670489"/>
      <w:r/>
      <w:bookmarkStart w:id="146" w:name="_Toc49090511"/>
      <w:r/>
      <w:bookmarkStart w:id="147" w:name="_Toc14577360"/>
      <w:r/>
      <w:bookmarkEnd w:id="143"/>
      <w:r/>
      <w:bookmarkEnd w:id="144"/>
      <w:r/>
      <w:bookmarkEnd w:id="145"/>
      <w:r>
        <w:rPr>
          <w:rFonts w:hint="eastAsia" w:hAnsi="宋体" w:cs="宋体"/>
          <w:b w:val="0"/>
          <w:bCs/>
        </w:rPr>
        <w:t xml:space="preserve">本项目无需递交投标保证金。</w:t>
      </w:r>
      <w:r/>
    </w:p>
    <w:p>
      <w:pPr>
        <w:pStyle w:val="981"/>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6"/>
      <w:r/>
      <w:bookmarkEnd w:id="147"/>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81"/>
        <w:ind w:firstLine="479"/>
        <w:spacing w:before="0" w:after="0" w:line="360" w:lineRule="auto"/>
        <w:rPr>
          <w:rFonts w:hint="eastAsia" w:ascii="宋体" w:hAnsi="宋体" w:eastAsia="宋体" w:cs="宋体"/>
        </w:rPr>
      </w:pPr>
      <w:r/>
      <w:bookmarkStart w:id="148" w:name="_Hlt26954739"/>
      <w:r/>
      <w:bookmarkStart w:id="149" w:name="_Hlt26954852"/>
      <w:r/>
      <w:bookmarkStart w:id="150" w:name="_Toc49090512"/>
      <w:r/>
      <w:bookmarkStart w:id="151" w:name="_Toc14577361"/>
      <w:r/>
      <w:bookmarkEnd w:id="148"/>
      <w:r/>
      <w:bookmarkEnd w:id="149"/>
      <w:r>
        <w:rPr>
          <w:rFonts w:ascii="宋体" w:hAnsi="宋体" w:eastAsia="宋体" w:cs="宋体"/>
        </w:rPr>
        <w:t xml:space="preserve">18、投标文件签署</w:t>
      </w:r>
      <w:bookmarkEnd w:id="150"/>
      <w:r/>
      <w:bookmarkEnd w:id="151"/>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980"/>
        <w:ind w:firstLine="436"/>
        <w:spacing w:before="156" w:after="156" w:line="360" w:lineRule="auto"/>
        <w:rPr>
          <w:rStyle w:val="1083"/>
          <w:rFonts w:hint="eastAsia" w:ascii="宋体" w:hAnsi="宋体" w:cs="宋体"/>
        </w:rPr>
      </w:pPr>
      <w:r/>
      <w:bookmarkStart w:id="152" w:name="_Toc16938540"/>
      <w:r/>
      <w:bookmarkStart w:id="153" w:name="_Toc174468331"/>
      <w:r/>
      <w:bookmarkStart w:id="154" w:name="_Toc174468374"/>
      <w:r/>
      <w:bookmarkStart w:id="155" w:name="_Toc513029224"/>
      <w:r/>
      <w:bookmarkStart w:id="156" w:name="_Toc22743"/>
      <w:r/>
      <w:bookmarkStart w:id="157" w:name="_Toc20823296"/>
      <w:r/>
      <w:bookmarkStart w:id="158" w:name="_Toc120614217"/>
      <w:r>
        <w:rPr>
          <w:rStyle w:val="1083"/>
          <w:rFonts w:hint="eastAsia" w:ascii="宋体" w:hAnsi="宋体" w:cs="宋体"/>
        </w:rPr>
        <w:t xml:space="preserve">四、投标文件的递交</w:t>
      </w:r>
      <w:bookmarkEnd w:id="152"/>
      <w:r/>
      <w:bookmarkEnd w:id="153"/>
      <w:r/>
      <w:bookmarkEnd w:id="154"/>
      <w:r/>
      <w:bookmarkEnd w:id="155"/>
      <w:r/>
      <w:bookmarkEnd w:id="156"/>
      <w:r/>
      <w:bookmarkEnd w:id="157"/>
      <w:r/>
      <w:bookmarkEnd w:id="158"/>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81"/>
        <w:ind w:firstLine="479"/>
        <w:spacing w:before="0" w:after="0" w:line="360" w:lineRule="auto"/>
        <w:rPr>
          <w:rFonts w:hint="eastAsia" w:ascii="宋体" w:hAnsi="宋体" w:eastAsia="宋体" w:cs="宋体"/>
        </w:rPr>
      </w:pPr>
      <w:r/>
      <w:bookmarkStart w:id="159" w:name="_Toc513029226"/>
      <w:r/>
      <w:bookmarkStart w:id="160" w:name="_Toc20823298"/>
      <w:r/>
      <w:bookmarkStart w:id="161" w:name="_Toc16938542"/>
      <w:r>
        <w:rPr>
          <w:rFonts w:ascii="宋体" w:hAnsi="宋体" w:eastAsia="宋体" w:cs="宋体"/>
        </w:rPr>
        <w:t xml:space="preserve">20、投标截止日期</w:t>
      </w:r>
      <w:bookmarkEnd w:id="159"/>
      <w:r/>
      <w:bookmarkEnd w:id="160"/>
      <w:r/>
      <w:bookmarkEnd w:id="161"/>
      <w:r/>
      <w:r/>
    </w:p>
    <w:p>
      <w:pPr>
        <w:ind w:firstLine="480"/>
        <w:spacing w:line="360" w:lineRule="auto"/>
        <w:rPr>
          <w:rFonts w:hint="eastAsia" w:hAnsi="宋体" w:cs="宋体"/>
          <w:b w:val="0"/>
          <w:bCs/>
        </w:rPr>
      </w:pPr>
      <w:r/>
      <w:bookmarkStart w:id="162" w:name="_Toc513029227"/>
      <w:r/>
      <w:bookmarkStart w:id="163" w:name="_Toc16938543"/>
      <w:r/>
      <w:bookmarkStart w:id="164"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62"/>
      <w:r/>
      <w:bookmarkEnd w:id="163"/>
      <w:r/>
      <w:bookmarkEnd w:id="164"/>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981"/>
        <w:ind w:firstLine="479"/>
        <w:spacing w:before="0" w:after="0" w:line="360" w:lineRule="auto"/>
        <w:rPr>
          <w:rFonts w:hint="eastAsia" w:ascii="宋体" w:hAnsi="宋体" w:eastAsia="宋体" w:cs="宋体"/>
        </w:rPr>
      </w:pPr>
      <w:r/>
      <w:bookmarkStart w:id="165" w:name="_Toc20823300"/>
      <w:r/>
      <w:bookmarkStart w:id="166" w:name="_Toc16938544"/>
      <w:r/>
      <w:bookmarkStart w:id="167" w:name="_Toc513029228"/>
      <w:r>
        <w:rPr>
          <w:rFonts w:ascii="宋体" w:hAnsi="宋体" w:eastAsia="宋体" w:cs="宋体"/>
        </w:rPr>
        <w:t xml:space="preserve">22、投标文件的修改和撤回</w:t>
      </w:r>
      <w:bookmarkEnd w:id="165"/>
      <w:r/>
      <w:bookmarkEnd w:id="166"/>
      <w:r/>
      <w:bookmarkEnd w:id="167"/>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80"/>
        <w:ind w:firstLine="436"/>
        <w:spacing w:before="156" w:after="156" w:line="360" w:lineRule="auto"/>
        <w:rPr>
          <w:rStyle w:val="1083"/>
          <w:rFonts w:hint="eastAsia" w:ascii="宋体" w:hAnsi="宋体" w:cs="宋体"/>
        </w:rPr>
      </w:pPr>
      <w:r/>
      <w:bookmarkStart w:id="168" w:name="_Toc120614218"/>
      <w:r/>
      <w:bookmarkStart w:id="169" w:name="_Toc174468375"/>
      <w:r/>
      <w:bookmarkStart w:id="170" w:name="_Toc174468332"/>
      <w:r/>
      <w:bookmarkStart w:id="171" w:name="_Toc20823301"/>
      <w:r/>
      <w:bookmarkStart w:id="172" w:name="_Toc21082"/>
      <w:r/>
      <w:bookmarkStart w:id="173" w:name="_Toc513029229"/>
      <w:r/>
      <w:bookmarkStart w:id="174" w:name="_Toc16938545"/>
      <w:r>
        <w:rPr>
          <w:rStyle w:val="1083"/>
          <w:rFonts w:hint="eastAsia" w:ascii="宋体" w:hAnsi="宋体" w:cs="宋体"/>
        </w:rPr>
        <w:t xml:space="preserve">五、开标与评标</w:t>
      </w:r>
      <w:bookmarkEnd w:id="168"/>
      <w:r/>
      <w:bookmarkEnd w:id="169"/>
      <w:r/>
      <w:bookmarkEnd w:id="170"/>
      <w:r/>
      <w:bookmarkEnd w:id="171"/>
      <w:r/>
      <w:bookmarkEnd w:id="172"/>
      <w:r/>
      <w:bookmarkEnd w:id="173"/>
      <w:r/>
      <w:bookmarkEnd w:id="174"/>
      <w:r/>
      <w:r/>
    </w:p>
    <w:p>
      <w:pPr>
        <w:pStyle w:val="981"/>
        <w:ind w:firstLine="479"/>
        <w:spacing w:before="0" w:after="0" w:line="360" w:lineRule="auto"/>
        <w:rPr>
          <w:rFonts w:hint="eastAsia" w:ascii="宋体" w:hAnsi="宋体" w:eastAsia="宋体" w:cs="宋体"/>
        </w:rPr>
      </w:pPr>
      <w:r/>
      <w:bookmarkStart w:id="175" w:name="_Toc513029230"/>
      <w:r/>
      <w:bookmarkStart w:id="176" w:name="_Toc16938546"/>
      <w:r/>
      <w:bookmarkStart w:id="177" w:name="_Toc20823302"/>
      <w:r>
        <w:rPr>
          <w:rFonts w:ascii="宋体" w:hAnsi="宋体" w:eastAsia="宋体" w:cs="宋体"/>
        </w:rPr>
        <w:t xml:space="preserve">23、开标</w:t>
      </w:r>
      <w:bookmarkEnd w:id="175"/>
      <w:r/>
      <w:bookmarkEnd w:id="176"/>
      <w:r/>
      <w:bookmarkEnd w:id="177"/>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w:t>
      </w:r>
      <w:r>
        <w:rPr>
          <w:rFonts w:hint="eastAsia" w:hAnsi="宋体" w:cs="宋体"/>
          <w:b w:val="0"/>
          <w:bCs/>
        </w:rPr>
        <w:t xml:space="preserve">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8" w:name="_Toc513029231"/>
      <w:r/>
      <w:bookmarkStart w:id="179" w:name="_Toc16938547"/>
      <w:r/>
      <w:bookmarkStart w:id="180"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81"/>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8"/>
      <w:r/>
      <w:bookmarkEnd w:id="179"/>
      <w:r/>
      <w:bookmarkEnd w:id="180"/>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81"/>
        <w:ind w:firstLine="479"/>
        <w:spacing w:before="0" w:after="0" w:line="360" w:lineRule="auto"/>
        <w:rPr>
          <w:rFonts w:hint="eastAsia" w:ascii="宋体" w:hAnsi="宋体" w:eastAsia="宋体" w:cs="宋体"/>
        </w:rPr>
      </w:pPr>
      <w:r/>
      <w:bookmarkStart w:id="181" w:name="_Toc20823304"/>
      <w:r/>
      <w:bookmarkStart w:id="182" w:name="_Toc16938548"/>
      <w:r/>
      <w:bookmarkStart w:id="183" w:name="_Toc513029232"/>
      <w:r>
        <w:rPr>
          <w:rFonts w:ascii="宋体" w:hAnsi="宋体" w:eastAsia="宋体" w:cs="宋体"/>
        </w:rPr>
        <w:t xml:space="preserve">26．投标的澄清</w:t>
      </w:r>
      <w:bookmarkEnd w:id="181"/>
      <w:r/>
      <w:bookmarkEnd w:id="182"/>
      <w:r/>
      <w:bookmarkEnd w:id="183"/>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w:t>
      </w:r>
      <w:r>
        <w:rPr>
          <w:rFonts w:hint="eastAsia" w:hAnsi="宋体" w:cs="宋体"/>
          <w:b w:val="0"/>
          <w:bCs/>
          <w:szCs w:val="24"/>
        </w:rPr>
        <w:t xml:space="preserve">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81"/>
        <w:ind w:firstLine="479"/>
        <w:spacing w:before="0" w:after="0" w:line="360" w:lineRule="auto"/>
        <w:rPr>
          <w:rFonts w:hint="eastAsia" w:ascii="宋体" w:hAnsi="宋体" w:eastAsia="宋体" w:cs="宋体"/>
        </w:rPr>
      </w:pPr>
      <w:r/>
      <w:bookmarkStart w:id="184" w:name="_Toc20823305"/>
      <w:r/>
      <w:bookmarkStart w:id="185" w:name="_Toc16938549"/>
      <w:r/>
      <w:bookmarkStart w:id="186" w:name="_Toc513029233"/>
      <w:r>
        <w:rPr>
          <w:rFonts w:ascii="宋体" w:hAnsi="宋体" w:eastAsia="宋体" w:cs="宋体"/>
        </w:rPr>
        <w:t xml:space="preserve">27、对投标文件的初审</w:t>
      </w:r>
      <w:bookmarkEnd w:id="184"/>
      <w:r/>
      <w:bookmarkEnd w:id="185"/>
      <w:r/>
      <w:bookmarkEnd w:id="186"/>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537"/>
        <w:gridCol w:w="4753"/>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100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（即2025年9月-2025年11月期间）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w:t>
      </w:r>
      <w:r>
        <w:rPr>
          <w:rFonts w:hint="eastAsia" w:hAnsi="宋体" w:cs="宋体"/>
          <w:b w:val="0"/>
          <w:bCs/>
          <w:szCs w:val="24"/>
        </w:rPr>
        <w:t xml:space="preserve">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（本项目核心产品：医用液氧）</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自澄清发布后15分钟，投标人应关注苏采云系统，及时在规定时间内作出回复。回复超出时间视为未提供有效书面说明、证明材料），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w:t>
      </w:r>
      <w:r>
        <w:rPr>
          <w:rFonts w:hint="eastAsia" w:hAnsi="宋体" w:cs="宋体"/>
          <w:b w:val="0"/>
          <w:szCs w:val="24"/>
        </w:rPr>
        <w:t xml:space="preserve">投标（响应）处理。审查相关情况将在评审资料中进行记录。</w:t>
      </w:r>
      <w:r/>
    </w:p>
    <w:p>
      <w:pPr>
        <w:pStyle w:val="981"/>
        <w:ind w:firstLine="481"/>
        <w:spacing w:before="0" w:after="0" w:line="360" w:lineRule="auto"/>
        <w:rPr>
          <w:rFonts w:hint="eastAsia" w:ascii="宋体" w:hAnsi="宋体" w:eastAsia="宋体" w:cs="宋体"/>
          <w:b/>
          <w:bCs w:val="0"/>
          <w:u w:val="single"/>
        </w:rPr>
      </w:pPr>
      <w:r/>
      <w:bookmarkStart w:id="187" w:name="_Toc513029234"/>
      <w:r/>
      <w:bookmarkStart w:id="188" w:name="_Toc16938550"/>
      <w:r/>
      <w:bookmarkStart w:id="189" w:name="_Toc20823306"/>
      <w:r>
        <w:rPr>
          <w:rFonts w:ascii="宋体" w:hAnsi="宋体" w:eastAsia="宋体" w:cs="宋体"/>
          <w:b/>
          <w:bCs w:val="0"/>
          <w:u w:val="single"/>
        </w:rPr>
        <w:t xml:space="preserve">*28、</w:t>
      </w:r>
      <w:bookmarkEnd w:id="187"/>
      <w:r/>
      <w:bookmarkEnd w:id="188"/>
      <w:r/>
      <w:bookmarkEnd w:id="189"/>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90" w:name="_Toc16938551"/>
      <w:r/>
      <w:bookmarkStart w:id="191" w:name="_Toc513029235"/>
      <w:r/>
      <w:bookmarkStart w:id="192"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w:t>
      </w:r>
      <w:r>
        <w:rPr>
          <w:rFonts w:hAnsi="宋体" w:cs="宋体"/>
          <w:b w:val="0"/>
          <w:bCs/>
        </w:rPr>
        <w:t xml:space="preserve">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80"/>
        <w:ind w:firstLine="436"/>
        <w:spacing w:before="156" w:after="156" w:line="360" w:lineRule="auto"/>
        <w:rPr>
          <w:rStyle w:val="1083"/>
          <w:rFonts w:hint="eastAsia" w:ascii="宋体" w:hAnsi="宋体" w:cs="宋体"/>
          <w:b w:val="0"/>
          <w:bCs/>
        </w:rPr>
      </w:pPr>
      <w:r/>
      <w:bookmarkStart w:id="193" w:name="_Toc174468376"/>
      <w:r/>
      <w:bookmarkStart w:id="194" w:name="_Toc25066"/>
      <w:r/>
      <w:bookmarkStart w:id="195" w:name="_Toc120614219"/>
      <w:r/>
      <w:bookmarkStart w:id="196" w:name="_Toc174468333"/>
      <w:r>
        <w:rPr>
          <w:rStyle w:val="1083"/>
          <w:rFonts w:hint="eastAsia" w:ascii="宋体" w:hAnsi="宋体" w:cs="宋体"/>
        </w:rPr>
        <w:t xml:space="preserve">六、</w:t>
      </w:r>
      <w:bookmarkEnd w:id="190"/>
      <w:r/>
      <w:bookmarkEnd w:id="191"/>
      <w:r/>
      <w:bookmarkEnd w:id="192"/>
      <w:r>
        <w:rPr>
          <w:rStyle w:val="1083"/>
          <w:rFonts w:hint="eastAsia" w:ascii="宋体" w:hAnsi="宋体" w:cs="宋体"/>
        </w:rPr>
        <w:t xml:space="preserve">定标</w:t>
      </w:r>
      <w:bookmarkEnd w:id="193"/>
      <w:r/>
      <w:bookmarkEnd w:id="194"/>
      <w:r/>
      <w:bookmarkEnd w:id="195"/>
      <w:r/>
      <w:bookmarkEnd w:id="196"/>
      <w:r/>
      <w:r/>
    </w:p>
    <w:p>
      <w:pPr>
        <w:pStyle w:val="981"/>
        <w:ind w:firstLine="480"/>
        <w:spacing w:before="0" w:after="0" w:line="360" w:lineRule="auto"/>
        <w:rPr>
          <w:rFonts w:hint="eastAsia" w:ascii="宋体" w:hAnsi="宋体" w:eastAsia="宋体" w:cs="宋体"/>
          <w:sz w:val="30"/>
          <w:szCs w:val="30"/>
        </w:rPr>
      </w:pPr>
      <w:r/>
      <w:bookmarkStart w:id="197" w:name="_Toc513029238"/>
      <w:r/>
      <w:bookmarkStart w:id="198" w:name="_Toc20823310"/>
      <w:r/>
      <w:bookmarkStart w:id="199" w:name="_Toc16938554"/>
      <w:r>
        <w:rPr>
          <w:rFonts w:ascii="宋体" w:hAnsi="宋体" w:eastAsia="宋体" w:cs="宋体"/>
          <w:sz w:val="30"/>
          <w:szCs w:val="30"/>
        </w:rPr>
        <w:t xml:space="preserve">29、</w:t>
      </w:r>
      <w:bookmarkEnd w:id="197"/>
      <w:r>
        <w:rPr>
          <w:rFonts w:hint="eastAsia" w:ascii="宋体" w:hAnsi="宋体" w:eastAsia="宋体" w:cs="宋体"/>
          <w:sz w:val="30"/>
          <w:szCs w:val="30"/>
        </w:rPr>
        <w:t xml:space="preserve">确定</w:t>
      </w:r>
      <w:bookmarkEnd w:id="198"/>
      <w:r/>
      <w:bookmarkEnd w:id="199"/>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200"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200"/>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0"/>
        <w:ind w:firstLine="481"/>
        <w:spacing w:before="156" w:after="156" w:line="348" w:lineRule="auto"/>
        <w:rPr>
          <w:rStyle w:val="1083"/>
          <w:rFonts w:hint="eastAsia" w:ascii="宋体" w:hAnsi="宋体" w:cs="宋体"/>
        </w:rPr>
      </w:pPr>
      <w:r/>
      <w:bookmarkStart w:id="201" w:name="_Toc9952"/>
      <w:r/>
      <w:bookmarkStart w:id="202" w:name="_Toc120614220"/>
      <w:r/>
      <w:bookmarkStart w:id="203" w:name="_Toc174468377"/>
      <w:r/>
      <w:bookmarkStart w:id="204" w:name="_Toc174468334"/>
      <w:r/>
      <w:bookmarkStart w:id="205" w:name="_Toc20823308"/>
      <w:r/>
      <w:bookmarkStart w:id="206" w:name="_Toc16938552"/>
      <w:r/>
      <w:bookmarkStart w:id="207" w:name="_Toc513029236"/>
      <w:r>
        <w:rPr>
          <w:rStyle w:val="1083"/>
          <w:rFonts w:hint="eastAsia" w:ascii="宋体" w:hAnsi="宋体" w:cs="宋体"/>
        </w:rPr>
        <w:t xml:space="preserve">七、授予合同</w:t>
      </w:r>
      <w:bookmarkEnd w:id="201"/>
      <w:r/>
      <w:bookmarkEnd w:id="202"/>
      <w:r/>
      <w:bookmarkEnd w:id="203"/>
      <w:r/>
      <w:bookmarkEnd w:id="204"/>
      <w:r/>
      <w:r/>
    </w:p>
    <w:p>
      <w:pPr>
        <w:ind w:firstLine="480"/>
        <w:spacing w:line="348" w:lineRule="auto"/>
        <w:rPr>
          <w:rFonts w:hint="eastAsia" w:hAnsi="宋体" w:cs="宋体"/>
          <w:b w:val="0"/>
          <w:bCs/>
          <w:sz w:val="30"/>
          <w:szCs w:val="30"/>
        </w:rPr>
      </w:pPr>
      <w:r/>
      <w:bookmarkStart w:id="208" w:name="_Toc20823309"/>
      <w:r/>
      <w:bookmarkStart w:id="209" w:name="_Toc513029237"/>
      <w:r/>
      <w:bookmarkStart w:id="210" w:name="_Toc16938553"/>
      <w:r/>
      <w:bookmarkEnd w:id="205"/>
      <w:r/>
      <w:bookmarkEnd w:id="206"/>
      <w:r/>
      <w:bookmarkEnd w:id="207"/>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8"/>
      <w:r/>
      <w:bookmarkEnd w:id="209"/>
      <w:r/>
      <w:bookmarkEnd w:id="210"/>
      <w:r/>
      <w:r/>
    </w:p>
    <w:p>
      <w:pPr>
        <w:ind w:firstLine="480"/>
        <w:spacing w:line="348" w:lineRule="auto"/>
        <w:rPr>
          <w:rFonts w:hint="eastAsia" w:hAnsi="宋体" w:cs="宋体"/>
          <w:b w:val="0"/>
          <w:bCs/>
          <w:sz w:val="30"/>
          <w:szCs w:val="30"/>
        </w:rPr>
      </w:pPr>
      <w:r/>
      <w:bookmarkStart w:id="211" w:name="_Hlk142335146"/>
      <w:r>
        <w:rPr>
          <w:rFonts w:hint="eastAsia" w:hAnsi="宋体" w:cs="宋体"/>
          <w:b w:val="0"/>
          <w:bCs/>
          <w:sz w:val="30"/>
          <w:szCs w:val="30"/>
        </w:rPr>
        <w:t xml:space="preserve">33、政府采购履约资金扶持政策</w:t>
      </w:r>
      <w:bookmarkEnd w:id="211"/>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w:t>
      </w:r>
      <w:r>
        <w:rPr>
          <w:rFonts w:hint="eastAsia" w:hAnsi="宋体" w:cs="宋体"/>
          <w:b w:val="0"/>
          <w:position w:val="0"/>
          <w:szCs w:val="24"/>
        </w:rPr>
        <w:t xml:space="preserve">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34.1电子招标投标交易平台（即“苏采云”系统，网址：http://jszfcg.jsczt.cn/）相关要求是本招标文件的组成部分。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34.2投标人应对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34.3投标人应当对招标文件提出的要求和条件作出实质性响应，并在电子投标系统逐条应答。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34.4投标人应对要求提供的资格证明文件（如资质证书、资格证书）、技术资料（如白皮书、彩页、手册等）扫描上传至投标系统。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35、中标服务费</w:t>
      </w:r>
      <w:r/>
    </w:p>
    <w:p>
      <w:pPr>
        <w:pStyle w:val="1003"/>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w:t>
      </w:r>
      <w:r>
        <w:rPr>
          <w:rFonts w:ascii="宋体" w:hAnsi="宋体" w:eastAsia="宋体" w:cs="宋体"/>
          <w:b w:val="0"/>
          <w:bCs/>
          <w:sz w:val="24"/>
          <w:szCs w:val="24"/>
        </w:rPr>
        <w:t xml:space="preserve">江苏省招标投标协会(苏招协[2022]002)《江苏省招标代理服务收费的指导意见》</w:t>
      </w:r>
      <w:r>
        <w:rPr>
          <w:rFonts w:hint="eastAsia" w:ascii="宋体" w:hAnsi="宋体" w:eastAsia="宋体" w:cs="宋体"/>
          <w:b w:val="0"/>
          <w:bCs/>
          <w:sz w:val="24"/>
          <w:szCs w:val="24"/>
        </w:rPr>
        <w:t xml:space="preserve">货物</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收取，向采购代理机构一次性缴纳中标服务费。</w:t>
      </w:r>
      <w:r/>
    </w:p>
    <w:p>
      <w:pPr>
        <w:pStyle w:val="1003"/>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1003"/>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1003"/>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1003"/>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78"/>
        <w:spacing w:line="360" w:lineRule="auto"/>
        <w:rPr>
          <w:rFonts w:hint="eastAsia" w:ascii="宋体" w:hAnsi="宋体" w:eastAsia="宋体" w:cs="宋体"/>
          <w:b/>
          <w:bCs/>
          <w:sz w:val="44"/>
        </w:rPr>
      </w:pPr>
      <w:r/>
      <w:bookmarkStart w:id="212" w:name="_Toc174468378"/>
      <w:r>
        <w:rPr>
          <w:rFonts w:hint="eastAsia" w:ascii="宋体" w:hAnsi="宋体" w:eastAsia="宋体" w:cs="宋体"/>
          <w:b/>
          <w:bCs/>
          <w:sz w:val="44"/>
        </w:rPr>
        <w:t xml:space="preserve">第三章</w:t>
      </w:r>
      <w:bookmarkEnd w:id="52"/>
      <w:r/>
      <w:bookmarkEnd w:id="53"/>
      <w:r/>
      <w:bookmarkEnd w:id="54"/>
      <w:r/>
      <w:bookmarkEnd w:id="55"/>
      <w:r/>
      <w:bookmarkEnd w:id="56"/>
      <w:r>
        <w:rPr>
          <w:rFonts w:hint="eastAsia" w:ascii="宋体" w:hAnsi="宋体" w:eastAsia="宋体" w:cs="宋体"/>
          <w:b/>
          <w:bCs/>
          <w:sz w:val="44"/>
        </w:rPr>
        <w:t xml:space="preserve">  合同文本</w:t>
      </w:r>
      <w:bookmarkEnd w:id="212"/>
      <w:r/>
      <w:r/>
    </w:p>
    <w:p>
      <w:pPr>
        <w:ind w:firstLine="480"/>
        <w:spacing w:line="360" w:lineRule="auto"/>
        <w:rPr>
          <w:rFonts w:hint="eastAsia" w:hAnsi="宋体" w:cs="宋体"/>
          <w:b w:val="0"/>
          <w:bCs/>
        </w:rPr>
      </w:pPr>
      <w:r/>
      <w:bookmarkStart w:id="213" w:name="_Toc16938559"/>
      <w:r/>
      <w:bookmarkStart w:id="214" w:name="_Toc20823315"/>
      <w:r/>
      <w:bookmarkStart w:id="215" w:name="_Toc513029243"/>
      <w:r/>
      <w:bookmarkStart w:id="216" w:name="_Hlt16619350"/>
      <w:r/>
      <w:bookmarkStart w:id="217" w:name="_Toc20823346"/>
      <w:r/>
      <w:bookmarkStart w:id="218" w:name="_Toc120614244"/>
      <w:r/>
      <w:bookmarkStart w:id="219" w:name="_Toc16938590"/>
      <w:r/>
      <w:bookmarkStart w:id="220" w:name="_Toc462564139"/>
      <w:r/>
      <w:bookmarkStart w:id="221"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bookmarkEnd w:id="213"/>
      <w:r/>
      <w:bookmarkEnd w:id="214"/>
      <w:r/>
      <w:bookmarkEnd w:id="215"/>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Narrow" w:hAnsi="Arial Narrow" w:eastAsia="Arial Narrow" w:cs="Arial Narrow"/>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Narrow" w:hAnsi="Arial Narrow" w:eastAsia="Arial Narrow" w:cs="Arial Narrow"/>
          <w:b/>
          <w:color w:val="000000"/>
          <w:sz w:val="52"/>
        </w:rPr>
        <w:t xml:space="preserve"> </w:t>
      </w:r>
      <w:r/>
    </w:p>
    <w:tbl>
      <w:tblPr>
        <w:tblStyle w:val="10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3"/>
      </w:tblGrid>
      <w:tr>
        <w:trPr>
          <w:trHeight w:val="8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3" w:type="dxa"/>
            <w:vAlign w:val="center"/>
            <w:textDirection w:val="lrTb"/>
            <w:noWrap w:val="false"/>
          </w:tcPr>
          <w:p>
            <w:pPr>
              <w:ind w:left="0" w:right="0" w:firstLine="208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52"/>
              </w:rPr>
              <w:t xml:space="preserve">医用气体供应协议</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10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5"/>
        <w:gridCol w:w="4211"/>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5"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5"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5"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6"/>
                <w:sz w:val="21"/>
              </w:rPr>
              <w:t xml:space="preserve">乙方 </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5"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5"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
        <w:rPr>
          <w:rFonts w:ascii="SimSun" w:hAnsi="SimSun" w:eastAsia="SimSun" w:cs="SimSun"/>
          <w:b/>
          <w:color w:val="000000"/>
          <w:sz w:val="24"/>
        </w:rPr>
        <w:t xml:space="preserve">产品需求与标准</w:t>
      </w:r>
      <w:r/>
      <w:r>
        <w:rPr>
          <w:rFonts w:ascii="SimSun" w:hAnsi="SimSun" w:eastAsia="SimSun" w:cs="SimSun"/>
          <w:sz w:val="24"/>
        </w:rP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定义：产品：气瓶所装载的气体（本协议简称“产品”）。气瓶：用于盛装产品的容器，包括但不限于铝瓶、钢瓶、篮、集装格、杜瓦桶、储罐、罐等、容器、气瓶和拖车（本协议简称“气瓶”）。</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产品及质量保证</w:t>
      </w:r>
      <w:r/>
    </w:p>
    <w:p>
      <w:pPr>
        <w:ind w:left="72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甲乙双方根据本协议的条款和条件购买和销售产品医用氧。乙方承诺，向甲方供应的产品质量标准符合《中华人民共和国药典》2020版（氧）标准，产品纯度≥99.5%。</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甲方使用医用气体的时间以每天24小时，每周7天计算。如果甲方对气体的需求发生任何显著变化，甲乙双方将当面协商。</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根据以下条款和条件，乙方同意向甲方销售且甲方同意向且仅向乙方购买甲方其所有本合同所列产品使用点所需的全部医疗气体，包括气态和液态。</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为确保供气安全和产品质量，甲方承诺，向且仅向乙方购买全部医用液氧以满足甲方设备需求，包括目前已经拥有和运行的设备及其未来可能改动、增加、扩建或延伸的设备。</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乙方将按以下价格向甲方供应医用气体及相关服务：</w:t>
      </w:r>
      <w:r/>
    </w:p>
    <w:tbl>
      <w:tblPr>
        <w:tblStyle w:val="10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2130"/>
        <w:gridCol w:w="4192"/>
        <w:gridCol w:w="696"/>
        <w:gridCol w:w="696"/>
        <w:gridCol w:w="480"/>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医用液氧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瓶装医用氧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瓶装医用氧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瓶装医用氧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瓶装医用氧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混合气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CO:0.26% He:17.7% O2:24% N2:余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超高氩气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高纯二氧化碳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高纯二氧化碳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普通二氧化碳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普通氮气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一氧化二氮（笑气）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高纯空气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超高纯氢气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六氟化硫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纯度≥99.995%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本协议中所有价格（以下简称“价格”）为人民币含税价，含签约时法定的税项和税率。</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每个月的使用量以实际送货数量为准。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乙方应在接到甲方需求通知后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小时内将货品送达。</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乙方接到甲方紧急通知后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小时内将甲方指定数量的瓶装气体送达至甲方指定地点，气瓶无使用费。</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乙方配置该项目送货车辆通行证应符合镇江市交通管理局相关规定，确保按院方要求送至需求地点。</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乙方需具备</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小时随叫随到的应急能力，能够派出专业技术人员保障用气供给相关技术保障和服务。由于医院场地限制，乙方必须具备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辆载重</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吨以内的医用氧专用槽车。提供车辆有效期内的行驶证。</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乙方应充分配置并免费提供服务于本项目的气瓶的数量，包含但不限于（</w:t>
      </w:r>
      <w:r>
        <w:rPr>
          <w:rFonts w:ascii="Times New Roman" w:hAnsi="Times New Roman" w:eastAsia="Times New Roman" w:cs="Times New Roman"/>
          <w:color w:val="000000"/>
          <w:sz w:val="24"/>
        </w:rPr>
        <w:t xml:space="preserve">40L</w:t>
      </w:r>
      <w:r>
        <w:rPr>
          <w:rFonts w:ascii="SimSun" w:hAnsi="SimSun" w:eastAsia="SimSun" w:cs="SimSun"/>
          <w:color w:val="000000"/>
          <w:sz w:val="24"/>
        </w:rPr>
        <w:t xml:space="preserve">医用氧气瓶</w:t>
      </w:r>
      <w:r>
        <w:rPr>
          <w:rFonts w:ascii="Times New Roman" w:hAnsi="Times New Roman" w:eastAsia="Times New Roman" w:cs="Times New Roman"/>
          <w:color w:val="000000"/>
          <w:sz w:val="24"/>
        </w:rPr>
        <w:t xml:space="preserve"> 300 </w:t>
      </w:r>
      <w:r>
        <w:rPr>
          <w:rFonts w:ascii="SimSun" w:hAnsi="SimSun" w:eastAsia="SimSun" w:cs="SimSun"/>
          <w:color w:val="000000"/>
          <w:sz w:val="24"/>
        </w:rPr>
        <w:t xml:space="preserve">只、</w:t>
      </w:r>
      <w:r>
        <w:rPr>
          <w:rFonts w:ascii="Times New Roman" w:hAnsi="Times New Roman" w:eastAsia="Times New Roman" w:cs="Times New Roman"/>
          <w:color w:val="000000"/>
          <w:sz w:val="24"/>
        </w:rPr>
        <w:t xml:space="preserve">10L</w:t>
      </w:r>
      <w:r>
        <w:rPr>
          <w:rFonts w:ascii="SimSun" w:hAnsi="SimSun" w:eastAsia="SimSun" w:cs="SimSun"/>
          <w:color w:val="000000"/>
          <w:sz w:val="24"/>
        </w:rPr>
        <w:t xml:space="preserve">气瓶</w:t>
      </w:r>
      <w:r>
        <w:rPr>
          <w:rFonts w:ascii="Times New Roman" w:hAnsi="Times New Roman" w:eastAsia="Times New Roman" w:cs="Times New Roman"/>
          <w:color w:val="000000"/>
          <w:sz w:val="24"/>
        </w:rPr>
        <w:t xml:space="preserve"> 80 </w:t>
      </w:r>
      <w:r>
        <w:rPr>
          <w:rFonts w:ascii="SimSun" w:hAnsi="SimSun" w:eastAsia="SimSun" w:cs="SimSun"/>
          <w:color w:val="000000"/>
          <w:sz w:val="24"/>
        </w:rPr>
        <w:t xml:space="preserve">只、</w:t>
      </w:r>
      <w:r>
        <w:rPr>
          <w:rFonts w:ascii="Times New Roman" w:hAnsi="Times New Roman" w:eastAsia="Times New Roman" w:cs="Times New Roman"/>
          <w:color w:val="000000"/>
          <w:sz w:val="24"/>
        </w:rPr>
        <w:t xml:space="preserve">4L</w:t>
      </w:r>
      <w:r>
        <w:rPr>
          <w:rFonts w:ascii="SimSun" w:hAnsi="SimSun" w:eastAsia="SimSun" w:cs="SimSun"/>
          <w:color w:val="000000"/>
          <w:sz w:val="24"/>
        </w:rPr>
        <w:t xml:space="preserve">气瓶</w:t>
      </w:r>
      <w:r>
        <w:rPr>
          <w:rFonts w:ascii="Times New Roman" w:hAnsi="Times New Roman" w:eastAsia="Times New Roman" w:cs="Times New Roman"/>
          <w:color w:val="000000"/>
          <w:sz w:val="24"/>
        </w:rPr>
        <w:t xml:space="preserve"> 200 </w:t>
      </w:r>
      <w:r>
        <w:rPr>
          <w:rFonts w:ascii="SimSun" w:hAnsi="SimSun" w:eastAsia="SimSun" w:cs="SimSun"/>
          <w:color w:val="000000"/>
          <w:sz w:val="24"/>
        </w:rPr>
        <w:t xml:space="preserve">只、</w:t>
      </w:r>
      <w:r>
        <w:rPr>
          <w:rFonts w:ascii="Times New Roman" w:hAnsi="Times New Roman" w:eastAsia="Times New Roman" w:cs="Times New Roman"/>
          <w:color w:val="000000"/>
          <w:sz w:val="24"/>
        </w:rPr>
        <w:t xml:space="preserve">2L</w:t>
      </w:r>
      <w:r>
        <w:rPr>
          <w:rFonts w:ascii="SimSun" w:hAnsi="SimSun" w:eastAsia="SimSun" w:cs="SimSun"/>
          <w:color w:val="000000"/>
          <w:sz w:val="24"/>
        </w:rPr>
        <w:t xml:space="preserve">气瓶</w:t>
      </w:r>
      <w:r>
        <w:rPr>
          <w:rFonts w:ascii="Times New Roman" w:hAnsi="Times New Roman" w:eastAsia="Times New Roman" w:cs="Times New Roman"/>
          <w:color w:val="000000"/>
          <w:sz w:val="24"/>
        </w:rPr>
        <w:t xml:space="preserve"> 50</w:t>
      </w:r>
      <w:r>
        <w:rPr>
          <w:rFonts w:ascii="SimSun" w:hAnsi="SimSun" w:eastAsia="SimSun" w:cs="SimSun"/>
          <w:color w:val="000000"/>
          <w:sz w:val="24"/>
        </w:rPr>
        <w:t xml:space="preserve">只、</w:t>
      </w:r>
      <w:r>
        <w:rPr>
          <w:rFonts w:ascii="Times New Roman" w:hAnsi="Times New Roman" w:eastAsia="Times New Roman" w:cs="Times New Roman"/>
          <w:color w:val="000000"/>
          <w:sz w:val="24"/>
        </w:rPr>
        <w:t xml:space="preserve">40L</w:t>
      </w:r>
      <w:r>
        <w:rPr>
          <w:rFonts w:ascii="SimSun" w:hAnsi="SimSun" w:eastAsia="SimSun" w:cs="SimSun"/>
          <w:color w:val="000000"/>
          <w:sz w:val="24"/>
        </w:rPr>
        <w:t xml:space="preserve">二氧化碳气瓶</w:t>
      </w:r>
      <w:r>
        <w:rPr>
          <w:rFonts w:ascii="Times New Roman" w:hAnsi="Times New Roman" w:eastAsia="Times New Roman" w:cs="Times New Roman"/>
          <w:color w:val="000000"/>
          <w:sz w:val="24"/>
        </w:rPr>
        <w:t xml:space="preserve"> 100 </w:t>
      </w:r>
      <w:r>
        <w:rPr>
          <w:rFonts w:ascii="SimSun" w:hAnsi="SimSun" w:eastAsia="SimSun" w:cs="SimSun"/>
          <w:color w:val="000000"/>
          <w:sz w:val="24"/>
        </w:rPr>
        <w:t xml:space="preserve">只等）。乙方需提供数字化管理系统对院内所有气瓶的有效期、各科室用量、各科室存放量等关键数据进行追踪管理。</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乙方应免费对甲方技术人员进行操作、维护、应急演练等方面的培训，并且提供免费的技术咨询服务。（乙方须在投标文件中提供承诺函，格式自拟）</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将货物运到甲方指定地点，由乙方负责办理运输和装卸等，费用由乙方负责，由甲方组织验收，检验不合格或不符合质量要求，乙方除无条件退货、返工外，还应承担甲方的一切损失。到货接收货物流程按甲方管理流程执行，乙方应义务配合完成。</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乙方应配置不少于</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人在院方提供</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小时驻场服务，现场服务人员需持证上岗，以保障甲方医用气体正常使用，服务内容包括但不限于：每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小时一次巡检、液氧站故障的应急处置、特种设备管理台账、气瓶搬运、甲方安排的其他工作等。拟安排的现场服务人员需具有《中华人民共和国特种设备安全管理人员证》（即特种设备</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证）。</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满足甲方医用液氧的使用，须由乙方免费提供液氧站供甲方免费使用。液氧站具备自动切换功能无需人工切换，储罐及各安全阀门和压力表的的安装、报装建及年检、定期检测、校验，所有费用由乙方承担。服务期内乙方须免费为甲方进行一次供养管道测漏服务，保证管道无泄漏。乙方必须确保液氧站①取得合法合规的使用登记证；②保证不间断供气。</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液氧站设备组成及参数应符合以下要求（若气站安装后不符合以下要求，甲方将终止合同，而由此给甲方造成的实际损失，乙方应给予足额赔偿，并且气站安装的所有费用由乙方自行承担）</w:t>
      </w:r>
      <w:r/>
    </w:p>
    <w:tbl>
      <w:tblPr>
        <w:tblStyle w:val="10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7"/>
        <w:gridCol w:w="432"/>
        <w:gridCol w:w="7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液氧站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5" w:type="dxa"/>
            <w:vAlign w:val="top"/>
            <w:textDirection w:val="lrTb"/>
            <w:noWrap w:val="false"/>
          </w:tcPr>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储罐容积不大于</w:t>
            </w:r>
            <w:r>
              <w:rPr>
                <w:rFonts w:ascii="Times New Roman" w:hAnsi="Times New Roman" w:eastAsia="Times New Roman" w:cs="Times New Roman"/>
                <w:color w:val="000000"/>
                <w:sz w:val="24"/>
              </w:rPr>
              <w:t xml:space="preserve">4.99 m</w:t>
            </w:r>
            <w:r>
              <w:rPr>
                <w:rFonts w:ascii="SimSun" w:hAnsi="SimSun" w:eastAsia="SimSun" w:cs="SimSun"/>
                <w:color w:val="000000"/>
                <w:sz w:val="24"/>
              </w:rPr>
              <w:t xml:space="preserve">³，储罐正常工作最高压力不小于</w:t>
            </w:r>
            <w:r>
              <w:rPr>
                <w:rFonts w:ascii="Times New Roman" w:hAnsi="Times New Roman" w:eastAsia="Times New Roman" w:cs="Times New Roman"/>
                <w:color w:val="000000"/>
                <w:sz w:val="24"/>
              </w:rPr>
              <w:t xml:space="preserve">1.6 MPa</w:t>
            </w:r>
            <w:r>
              <w:rPr>
                <w:rFonts w:ascii="SimSun" w:hAnsi="SimSun" w:eastAsia="SimSun" w:cs="SimSun"/>
                <w:color w:val="000000"/>
                <w:sz w:val="24"/>
              </w:rPr>
              <w:t xml:space="preserve">；</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储罐间须具有自动切换功能，储罐压力可自动调节，无需人为干预；</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储罐具有节气功能、储罐液相出口具备防倒流功能；</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汽化器、减压阀组、安全附件等主要设备及阀门均须采用一用一备的设计；</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峰值流量输出不小于</w:t>
            </w:r>
            <w:r>
              <w:rPr>
                <w:rFonts w:ascii="Times New Roman" w:hAnsi="Times New Roman" w:eastAsia="Times New Roman" w:cs="Times New Roman"/>
                <w:color w:val="000000"/>
                <w:sz w:val="24"/>
              </w:rPr>
              <w:t xml:space="preserve">300 Nm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液氧储罐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5" w:type="dxa"/>
            <w:vAlign w:val="center"/>
            <w:textDirection w:val="lrTb"/>
            <w:noWrap w:val="false"/>
          </w:tcPr>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储罐容积≤</w:t>
            </w:r>
            <w:r>
              <w:rPr>
                <w:rFonts w:ascii="Times New Roman" w:hAnsi="Times New Roman" w:eastAsia="Times New Roman" w:cs="Times New Roman"/>
                <w:color w:val="000000"/>
                <w:sz w:val="24"/>
              </w:rPr>
              <w:t xml:space="preserve">4.99 m</w:t>
            </w:r>
            <w:r>
              <w:rPr>
                <w:rFonts w:ascii="SimSun" w:hAnsi="SimSun" w:eastAsia="SimSun" w:cs="SimSun"/>
                <w:color w:val="000000"/>
                <w:sz w:val="24"/>
              </w:rPr>
              <w:t xml:space="preserve">³，设计压力</w:t>
            </w:r>
            <w:r>
              <w:rPr>
                <w:rFonts w:ascii="Times New Roman" w:hAnsi="Times New Roman" w:eastAsia="Times New Roman" w:cs="Times New Roman"/>
                <w:color w:val="000000"/>
                <w:sz w:val="24"/>
              </w:rPr>
              <w:t xml:space="preserve">1.7 MPa</w:t>
            </w:r>
            <w:r>
              <w:rPr>
                <w:rFonts w:ascii="SimSun" w:hAnsi="SimSun" w:eastAsia="SimSun" w:cs="SimSun"/>
                <w:color w:val="000000"/>
                <w:sz w:val="24"/>
              </w:rPr>
              <w:t xml:space="preserve">；</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设计标准符合</w:t>
            </w:r>
            <w:r>
              <w:rPr>
                <w:rFonts w:ascii="Times New Roman" w:hAnsi="Times New Roman" w:eastAsia="Times New Roman" w:cs="Times New Roman"/>
                <w:color w:val="000000"/>
                <w:sz w:val="24"/>
              </w:rPr>
              <w:t xml:space="preserve">GB/T150.1-GB/T150.4-2011</w:t>
            </w:r>
            <w:r>
              <w:rPr>
                <w:rFonts w:ascii="SimSun" w:hAnsi="SimSun" w:eastAsia="SimSun" w:cs="SimSun"/>
                <w:color w:val="000000"/>
                <w:sz w:val="24"/>
              </w:rPr>
              <w:t xml:space="preserve">《压力容器》、</w:t>
            </w:r>
            <w:r>
              <w:rPr>
                <w:rFonts w:ascii="Times New Roman" w:hAnsi="Times New Roman" w:eastAsia="Times New Roman" w:cs="Times New Roman"/>
                <w:color w:val="000000"/>
                <w:sz w:val="24"/>
              </w:rPr>
              <w:t xml:space="preserve">GB/T18442.1-GB/18442.6-2019</w:t>
            </w:r>
            <w:r>
              <w:rPr>
                <w:rFonts w:ascii="SimSun" w:hAnsi="SimSun" w:eastAsia="SimSun" w:cs="SimSun"/>
                <w:color w:val="000000"/>
                <w:sz w:val="24"/>
              </w:rPr>
              <w:t xml:space="preserve">《固定式真空绝热深冷压力容器》、</w:t>
            </w:r>
            <w:r>
              <w:rPr>
                <w:rFonts w:ascii="Times New Roman" w:hAnsi="Times New Roman" w:eastAsia="Times New Roman" w:cs="Times New Roman"/>
                <w:color w:val="000000"/>
                <w:sz w:val="24"/>
              </w:rPr>
              <w:t xml:space="preserve">GB/T18422.7-2017</w:t>
            </w:r>
            <w:r>
              <w:rPr>
                <w:rFonts w:ascii="SimSun" w:hAnsi="SimSun" w:eastAsia="SimSun" w:cs="SimSun"/>
                <w:color w:val="000000"/>
                <w:sz w:val="24"/>
              </w:rPr>
              <w:t xml:space="preserve">《固定式真空绝热深冷压力容器第</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部分：内容器应变强化技术规定》；</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储罐上均采用合格优质阀门；</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产品设计使用年限≥</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汽化器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 Nm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5" w:type="dxa"/>
            <w:vAlign w:val="center"/>
            <w:textDirection w:val="lrTb"/>
            <w:noWrap w:val="false"/>
          </w:tcPr>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设计压力</w:t>
            </w:r>
            <w:r>
              <w:rPr>
                <w:rFonts w:ascii="Times New Roman" w:hAnsi="Times New Roman" w:eastAsia="Times New Roman" w:cs="Times New Roman"/>
                <w:color w:val="000000"/>
                <w:sz w:val="24"/>
              </w:rPr>
              <w:t xml:space="preserve">4 MPa</w:t>
            </w:r>
            <w:r>
              <w:rPr>
                <w:rFonts w:ascii="SimSun" w:hAnsi="SimSun" w:eastAsia="SimSun" w:cs="SimSun"/>
                <w:color w:val="000000"/>
                <w:sz w:val="24"/>
              </w:rPr>
              <w:t xml:space="preserve">，工作压力</w:t>
            </w:r>
            <w:r>
              <w:rPr>
                <w:rFonts w:ascii="Times New Roman" w:hAnsi="Times New Roman" w:eastAsia="Times New Roman" w:cs="Times New Roman"/>
                <w:color w:val="000000"/>
                <w:sz w:val="24"/>
              </w:rPr>
              <w:t xml:space="preserve">4 MPa</w:t>
            </w:r>
            <w:r>
              <w:rPr>
                <w:rFonts w:ascii="SimSun" w:hAnsi="SimSun" w:eastAsia="SimSun" w:cs="SimSun"/>
                <w:color w:val="000000"/>
                <w:sz w:val="24"/>
              </w:rPr>
              <w:t xml:space="preserve">；</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主体材质为防锈铝合金牌号</w:t>
            </w:r>
            <w:r>
              <w:rPr>
                <w:rFonts w:ascii="Times New Roman" w:hAnsi="Times New Roman" w:eastAsia="Times New Roman" w:cs="Times New Roman"/>
                <w:color w:val="000000"/>
                <w:sz w:val="24"/>
              </w:rPr>
              <w:t xml:space="preserve">3003/6063</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调压阀</w:t>
            </w:r>
            <w:r>
              <w:rPr>
                <w:rFonts w:ascii="Times New Roman" w:hAnsi="Times New Roman" w:eastAsia="Times New Roman" w:cs="Times New Roman"/>
                <w:color w:val="000000"/>
                <w:sz w:val="24"/>
              </w:rPr>
              <w:t xml:space="preserve">DN40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5" w:type="dxa"/>
            <w:vAlign w:val="center"/>
            <w:textDirection w:val="lrTb"/>
            <w:noWrap w:val="false"/>
          </w:tcPr>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出口压力区间满足</w:t>
            </w:r>
            <w:r>
              <w:rPr>
                <w:rFonts w:ascii="Times New Roman" w:hAnsi="Times New Roman" w:eastAsia="Times New Roman" w:cs="Times New Roman"/>
                <w:color w:val="000000"/>
                <w:sz w:val="24"/>
              </w:rPr>
              <w:t xml:space="preserve">0.05-3 MPa</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温度区间满足</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通过液体流量≥</w:t>
            </w:r>
            <w:r>
              <w:rPr>
                <w:rFonts w:ascii="Times New Roman" w:hAnsi="Times New Roman" w:eastAsia="Times New Roman" w:cs="Times New Roman"/>
                <w:color w:val="000000"/>
                <w:sz w:val="24"/>
              </w:rPr>
              <w:t xml:space="preserve">3.6 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Kv</w:t>
            </w:r>
            <w:r>
              <w:rPr>
                <w:rFonts w:ascii="SimSun" w:hAnsi="SimSun" w:eastAsia="SimSun" w:cs="SimSun"/>
                <w:color w:val="000000"/>
                <w:sz w:val="24"/>
              </w:rPr>
              <w:t xml:space="preserve">值≥</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阀体材质为黄铜；</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w:t>
            </w:r>
            <w:r>
              <w:rPr>
                <w:rFonts w:ascii="Times New Roman" w:hAnsi="Times New Roman" w:eastAsia="Times New Roman" w:cs="Times New Roman"/>
                <w:color w:val="000000"/>
                <w:sz w:val="24"/>
              </w:rPr>
              <w:t xml:space="preserve">DIN EN ISO 7291 </w:t>
            </w:r>
            <w:r>
              <w:rPr>
                <w:rFonts w:ascii="SimSun" w:hAnsi="SimSun" w:eastAsia="SimSun" w:cs="SimSun"/>
                <w:color w:val="000000"/>
                <w:sz w:val="24"/>
              </w:rPr>
              <w:t xml:space="preserve">标准（关闭后压力上升系数≤</w:t>
            </w:r>
            <w:r>
              <w:rPr>
                <w:rFonts w:ascii="Times New Roman" w:hAnsi="Times New Roman" w:eastAsia="Times New Roman" w:cs="Times New Roman"/>
                <w:color w:val="000000"/>
                <w:sz w:val="24"/>
              </w:rPr>
              <w:t xml:space="preserve">0.22</w:t>
            </w:r>
            <w:r>
              <w:rPr>
                <w:rFonts w:ascii="SimSun" w:hAnsi="SimSun" w:eastAsia="SimSun" w:cs="SimSun"/>
                <w:color w:val="000000"/>
                <w:sz w:val="24"/>
              </w:rPr>
              <w:t xml:space="preserve">，不均匀系数≤</w:t>
            </w:r>
            <w:r>
              <w:rPr>
                <w:rFonts w:ascii="Times New Roman" w:hAnsi="Times New Roman" w:eastAsia="Times New Roman" w:cs="Times New Roman"/>
                <w:color w:val="000000"/>
                <w:sz w:val="24"/>
              </w:rPr>
              <w:t xml:space="preserve">0.08</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截止阀</w:t>
            </w:r>
            <w:r>
              <w:rPr>
                <w:rFonts w:ascii="Times New Roman" w:hAnsi="Times New Roman" w:eastAsia="Times New Roman" w:cs="Times New Roman"/>
                <w:color w:val="000000"/>
                <w:sz w:val="24"/>
              </w:rPr>
              <w:t xml:space="preserve">DN40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（不含储罐）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5" w:type="dxa"/>
            <w:vAlign w:val="center"/>
            <w:textDirection w:val="lrTb"/>
            <w:noWrap w:val="false"/>
          </w:tcPr>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公称压力区间满足</w:t>
            </w:r>
            <w:r>
              <w:rPr>
                <w:rFonts w:ascii="Times New Roman" w:hAnsi="Times New Roman" w:eastAsia="Times New Roman" w:cs="Times New Roman"/>
                <w:color w:val="000000"/>
                <w:sz w:val="24"/>
              </w:rPr>
              <w:t xml:space="preserve">0.1-5 MPa</w:t>
            </w:r>
            <w:r>
              <w:rPr>
                <w:rFonts w:ascii="SimSun" w:hAnsi="SimSun" w:eastAsia="SimSun" w:cs="SimSun"/>
                <w:color w:val="000000"/>
                <w:sz w:val="24"/>
              </w:rPr>
              <w:t xml:space="preserve">；</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温度区间满足</w:t>
            </w:r>
            <w:r>
              <w:rPr>
                <w:rFonts w:ascii="Times New Roman" w:hAnsi="Times New Roman" w:eastAsia="Times New Roman" w:cs="Times New Roman"/>
                <w:color w:val="000000"/>
                <w:sz w:val="24"/>
              </w:rPr>
              <w:t xml:space="preserve">-196</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密封设计为金属硬密封；</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阀体材质为</w:t>
            </w:r>
            <w:r>
              <w:rPr>
                <w:rFonts w:ascii="Times New Roman" w:hAnsi="Times New Roman" w:eastAsia="Times New Roman" w:cs="Times New Roman"/>
                <w:color w:val="000000"/>
                <w:sz w:val="24"/>
              </w:rPr>
              <w:t xml:space="preserve">316L</w:t>
            </w:r>
            <w:r>
              <w:rPr>
                <w:rFonts w:ascii="SimSun" w:hAnsi="SimSun" w:eastAsia="SimSun" w:cs="SimSun"/>
                <w:color w:val="000000"/>
                <w:sz w:val="24"/>
              </w:rPr>
              <w:t xml:space="preserve">不锈钢。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提供远程液位监控设备和配套数据管理系统（程序），实现甲方订货自动化和气站液位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压力数据移动终端即时监控，无需人为干预。</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供气设备</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为了履行本供应协议，甲方现场需安装所需的设备用于供应医用液氧，以满足甲方需求。该供气设备的提供方为乙方。</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在任何条件下，设备提供方都保持对设备的唯一所有权，另一方不得自行移走设备标识或标记，也不能自行或允许任意其他第三方以任何方式出售、抵押、出租、占有设备或设备的任何部分。</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双方应各自为其财产进行保险。</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无论设备所有权归属，甲方均对设备具有看管的义务。</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双方合同签订的条件是基于合同签订时的供气设备条件，如果供气设备发生变更，双方可进行重新约定合同条件。</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设备由乙方出资安装，乙方安装完毕后,需向甲方提供《气站设备与主要管件交付表》及《设备交付通知》。根据适用的法规、条例和相关约定，乙方承诺出资履行对设备因正常磨损所需的维修保养。在本合同有效期内若甲方提出对设备进行移动、改装或拆除，全部工作只能由乙方完成，其费用由甲方承担。无论因何种原因终止本协议,乙方有权拆走设备。</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设备为甲方出资，甲方应自行根据适用的法规、条例和相关约定，出资履行对设备因正常磨损所需的维修保养并承担相关的费用。在本合同有效期内，若甲方需要对自有设备进行移动、改装或拆除，需提前通知乙方，以便乙方配合保障供气安全。</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甲方应为乙方车辆提供进入设备的通道,并保通道畅通。在任何时候，该通道应始终保持硬质路面。若甲方处于道路禁行区域,甲方有义务协助乙方办理道路通行手续。</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甲方应按照国家相关规定，根据实际气体需求设计安装医用气体备份气源设备（如汇流排等）。</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协议期内乙方免费提供足够甲方周转数量的气瓶供甲方使用，协议到期后双方确定不再续约的，甲方应归还所有乙方气瓶。</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甲方和乙方约定将定期对在甲方现场气瓶数量进行核对，气瓶使用数量的核对以双方签收的产品送货单为最终依据。每次气瓶核对完成后，双方应共同签字确认相关气瓶核对结果。</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期限内甲方应对气瓶进行保管、照看和控制，但甲方不得将气瓶作为第三方的留置物、抵押物和赔偿物，如果发生以上情况，甲方应立即解除该留置、抵押和赔偿关系。未经乙方事先书面同意，甲方不得以任何方式将任何产品或气瓶提供给任何第三方。如发生以上情况，乙方有权取回以上产品或气瓶，或暂停送货甚至终止本协议。</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气瓶交付起至气瓶返回乙方发运点止，甲方应承担气瓶包括其任何零件和附件的损失和损坏的风险，除非这种损失和损坏被适当证据证明是由于乙方的疏忽或不作为所造成的。对于损失和损坏的气瓶（包括其任何零件和附件），甲方同意以乙方现行价值向乙方支付全额的气瓶和／或零件或附件更换价值。</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自己不应，亦不应允许任何第三方对气瓶包括其任何零件和附件进行更改、调节、修理或拨弄。甲方同意自己不应，亦不应让除乙方以外的任何第三方对气瓶充入任何产品、气体、液体或任何其他物质，即使受到不可抗力影响亦然。</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气瓶如发生损坏或丢失按40L/50L气瓶650元/支赔偿。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订货、交货与计量</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订货</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甲方将按需订货。甲方须至少提前48小时在乙方订货时间内拨打乙方指定电话订货。</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乙方交货时保证乙方能收回等量的空的气瓶。乙方保留在事先通知的情况下修改交付产品的时间和数量的权利。如果甲方未能按本协议约定及时通知乙方但又要求乙方紧急送货，乙方将尽最大努力在4小时内送达。</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甲方需在订货中清晰表述送货的地点和供气设备。若甲方的送货地点和供气设备发生变化时，需提前通知乙方以便妥善安排送货。</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任何情况下，甲方有义务监控设备中医用气体的库存液位。一旦医用气体的库存液位低于安全液位（推荐参考值为30%）,甲方应立即通知乙方。</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乙方交货地点为</w:t>
      </w:r>
      <w:r>
        <w:rPr>
          <w:rFonts w:ascii="SimSun" w:hAnsi="SimSun" w:eastAsia="SimSun" w:cs="SimSun"/>
          <w:color w:val="000000"/>
          <w:sz w:val="24"/>
          <w:u w:val="single"/>
        </w:rPr>
        <w:t xml:space="preserve"> 镇江市润州区电力路8号 </w:t>
      </w:r>
      <w:r>
        <w:rPr>
          <w:rFonts w:ascii="SimSun" w:hAnsi="SimSun" w:eastAsia="SimSun" w:cs="SimSun"/>
          <w:color w:val="000000"/>
          <w:sz w:val="24"/>
        </w:rPr>
        <w:t xml:space="preserve">。</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买方在卖方送货单签字确认的产品数量为双方实际的交易数量，并以此做为计算货款的依据。</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进行瓶装气体送货时，甲方会收到一份注明送来和运回的气瓶种类及数目的送货单。甲方必须对该信息的准确性予以确认并在送货单上签字。如甲方对运送的产品或气瓶有任何疑义，甲方必须在交付产品及气瓶时起48小时内向乙方提出，否则将视为无异议。</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甲方应确保甲方院内送货道路通畅，同意乙方的运送车辆在每周七天、每天二十四小时的任何时间送货。</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每次送货时乙方将向甲方提供一份纸质或电子形式的送货单和检验报告作为结算依据，对双方具有约束力。</w:t>
      </w:r>
      <w:r/>
    </w:p>
    <w:p>
      <w:pPr>
        <w:numPr>
          <w:ilvl w:val="2"/>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医用液氧所有权和风险,包括损失风险，应在送货时在设备入口法兰处，一并转移给甲方。从交付开始,医用液氧的用途将完全并唯一由甲方负责。甲方申明该医用液氧是适合于其预定用途的。</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医用液氧计量方式：储槽液位计</w:t>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付款条件</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发票将每月开出，甲方应自收到发票日起90天内付清全部款额。</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甲方须用电汇或银行转账向乙方指定的账户支付全部款项。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责任条款</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甲方能够用适当的证据证明由于乙方的原因而使其受到损失或损害，乙方将仅对其导致的甲方有形财产的直接损害负责,此类损害是乙方在签署本协议时可预见的，每起赔偿的最高额不超过人民币10,000元整个协议期间累计赔偿的最高额不超过人民币50,000元。</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乙方无须对除以上第6.1条所约定的直接损害以外的损失或损害负责，但乙方须对由于乙方故意或重大过失造成的财产损失以及人身伤害负责，且赔偿不受上述赔偿限额的限制。</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同意，过失方须赔偿由于其行为或疏忽造成的任何人员的伤亡,并保证不使非过失方就上述事项受第三方的任何索赔、指控或诉讼行为的损害。若由于双方的共同行为或疏忽而造成的人员伤亡，双方应根据其各自行为或过失占比分担责任。</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双方在此同意所有责任事项应受本协议条款管辖，且在任何情况下任何一方均不以侵权或其他名义就其他损害要求赔偿。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非双方控制事件</w:t>
      </w:r>
      <w:r/>
    </w:p>
    <w:p>
      <w:pPr>
        <w:ind w:left="48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甲乙双方均无须对超出其合理控制的事项负责。此类事项包括但不限于不可抗力、第三方行为、法律 修订、爆炸、火灾、电力中断、未获得官方批准、交通运输重大困难和恶劣气候。遇有上述事件的一方应立即通知另一方。对于受影响的一方，本协议的履行可在上述事件发生的期间暂停，但本协议项下支付未付款项的义务，以及甲方支付非双方控制事件期间的每月基本费的义务除外。本协议的期限须顺延相同的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合同期限</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本协议经双方签署立即生效。</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本协议的初始有效期为自乙方第一次送货之日起的叁年。</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如果在本协议期限内，甲方确定停止使用医用气体，甲方有权终止本协议,但需提前六个月通知。甲方 应立即向乙方支付一笔赔偿费用,其金额相当于乙方因提前终止本协议所受的损失。若设备属于乙方资产，乙方将拆走设备，相关设备的清空、拆卸和运输成本均由甲方承担。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安全规定：</w:t>
      </w:r>
      <w:r/>
    </w:p>
    <w:p>
      <w:pPr>
        <w:ind w:left="50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知道产品和气瓶的危险性，包括在运输、操作、储存、持有和使用过程中的危险性。甲方有责任提醒、保护、适当培训所有可能接触气瓶和产品的有关人员和第三方，并且对受这些危险性影响的甲方与第三方的财产进行保护。自乙方第一次送货起，甲方已收到乙方提供产品的材料安全数据表（“数据表”）。甲方应在任何时候均遵守数据表。甲方应保证其任何可能接触产品和气瓶的人员收到并阅读数据表。</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合同的修改与保密</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本协议构成双方就签订本协议事宜的完整约定。合同执行期内,如有未尽事宜，须经双方共同协商，对本协议的修改以书面形式并获得各方授权代表签字同意后方为有效。</w:t>
      </w:r>
      <w:r/>
    </w:p>
    <w:p>
      <w:pPr>
        <w:numPr>
          <w:ilvl w:val="1"/>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本协议的条款，与一方业务有关的，另一方通过本协议或者在本协议履行过程中获得的任何信息或知识，应被另一方视为机密,除非法律要求，否则未经拥有信息和知识方的书面同意不得以任何方式披露 给任何人。除非法律要求，否则未经对方事先同意，一方不得就本协议及其内容或就拟进行的交易进行 任何形式的新闻发布或其他形式的对外声明或披露。本条款的规定在本协议终止两年内持续有效。</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双方在执行合同中所发生的一切争议，应通过协商解决。如协商不成，可向甲方所在地法院起诉。</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附件清单</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气站设备与主要管件交付表</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设备交付通知</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安全协议</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本协议中的附件是本协议不可分割的部分。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56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b/>
          <w:color w:val="000000"/>
          <w:sz w:val="24"/>
        </w:rPr>
        <w:t xml:space="preserve">镇江市第一人民医院</w:t>
      </w:r>
      <w:r>
        <w:rPr>
          <w:rFonts w:ascii="SimSun" w:hAnsi="SimSun" w:eastAsia="SimSun" w:cs="SimSun"/>
          <w:color w:val="000000"/>
          <w:sz w:val="24"/>
        </w:rPr>
        <w:t xml:space="preserve">   </w:t>
        <w:tab/>
        <w:t xml:space="preserve">乙方：</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tabs>
          <w:tab w:val="left" w:pos="56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w:t>
        <w:tab/>
        <w:t xml:space="preserve">姓名：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56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签字盖章：                 </w:t>
        <w:tab/>
        <w:t xml:space="preserve">签字盖章：</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56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tab/>
        <w:t xml:space="preserve">日期：</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978"/>
        <w:spacing w:line="360" w:lineRule="auto"/>
        <w:rPr>
          <w:rFonts w:hint="eastAsia" w:hAnsi="宋体" w:cs="宋体"/>
          <w:bCs/>
          <w:sz w:val="44"/>
        </w:rPr>
      </w:pPr>
      <w:r>
        <w:rPr>
          <w:rFonts w:hAnsi="宋体" w:cs="宋体"/>
          <w:bCs/>
        </w:rPr>
        <w:br w:type="page" w:clear="all"/>
      </w:r>
      <w:bookmarkStart w:id="264" w:name="_Toc174468379"/>
      <w:r>
        <w:rPr>
          <w:rFonts w:hint="eastAsia" w:ascii="宋体" w:hAnsi="宋体" w:eastAsia="宋体" w:cs="宋体"/>
          <w:b/>
          <w:bCs/>
          <w:sz w:val="44"/>
        </w:rPr>
        <w:t xml:space="preserve">第</w:t>
      </w:r>
      <w:bookmarkEnd w:id="216"/>
      <w:r>
        <w:rPr>
          <w:rFonts w:hint="eastAsia" w:ascii="宋体" w:hAnsi="宋体" w:eastAsia="宋体" w:cs="宋体"/>
          <w:b/>
          <w:bCs/>
          <w:sz w:val="44"/>
        </w:rPr>
        <w:t xml:space="preserve">四章  项目需求</w:t>
      </w:r>
      <w:bookmarkEnd w:id="217"/>
      <w:r/>
      <w:bookmarkEnd w:id="218"/>
      <w:r/>
      <w:bookmarkEnd w:id="219"/>
      <w:r/>
      <w:bookmarkEnd w:id="264"/>
      <w:r/>
      <w:r/>
    </w:p>
    <w:p>
      <w:pPr>
        <w:spacing w:line="360" w:lineRule="auto"/>
      </w:pPr>
      <w:r>
        <w:rPr>
          <w:rFonts w:hint="eastAsia" w:hAnsi="宋体"/>
        </w:rPr>
        <w:t xml:space="preserve">★</w:t>
      </w:r>
      <w:r>
        <w:rPr>
          <w:rFonts w:hint="eastAsia"/>
        </w:rPr>
        <w:t xml:space="preserve">一、技术</w:t>
      </w:r>
      <w:bookmarkStart w:id="265" w:name="_Toc5953"/>
      <w:r/>
      <w:bookmarkStart w:id="266" w:name="_Toc49090575"/>
      <w:r/>
      <w:bookmarkStart w:id="267" w:name="_Toc26554093"/>
      <w:r>
        <w:rPr>
          <w:rFonts w:hint="eastAsia"/>
        </w:rPr>
        <w:t xml:space="preserve">需求</w:t>
      </w:r>
      <w:r/>
    </w:p>
    <w:p>
      <w:pPr>
        <w:pStyle w:val="1040"/>
        <w:rPr>
          <w:rFonts w:hint="eastAsia"/>
        </w:rPr>
      </w:pPr>
      <w:r>
        <w:rPr>
          <w:rFonts w:hint="eastAsia"/>
        </w:rPr>
        <w:t xml:space="preserve">（一）气体清单</w:t>
      </w:r>
      <w:r/>
    </w:p>
    <w:tbl>
      <w:tblPr>
        <w:tblW w:w="53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418"/>
        <w:gridCol w:w="2135"/>
        <w:gridCol w:w="1000"/>
        <w:gridCol w:w="750"/>
        <w:gridCol w:w="1127"/>
        <w:gridCol w:w="1761"/>
      </w:tblGrid>
      <w:tr>
        <w:trPr>
          <w:jc w:val="center"/>
          <w:trHeight w:val="285"/>
        </w:trPr>
        <w:tc>
          <w:tcPr>
            <w:tcW w:w="414"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lang w:bidi="ar"/>
              </w:rPr>
              <w:t xml:space="preserve">序号</w:t>
            </w:r>
            <w:r/>
          </w:p>
        </w:tc>
        <w:tc>
          <w:tcPr>
            <w:tcW w:w="794"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lang w:bidi="ar"/>
              </w:rPr>
              <w:t xml:space="preserve">名称</w:t>
            </w:r>
            <w:r/>
          </w:p>
        </w:tc>
        <w:tc>
          <w:tcPr>
            <w:tcW w:w="1195"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lang w:bidi="ar"/>
              </w:rPr>
              <w:t xml:space="preserve">纯度</w:t>
            </w:r>
            <w:r/>
          </w:p>
        </w:tc>
        <w:tc>
          <w:tcPr>
            <w:tcW w:w="560"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lang w:bidi="ar"/>
              </w:rPr>
              <w:t xml:space="preserve">规格</w:t>
            </w:r>
            <w:r/>
          </w:p>
        </w:tc>
        <w:tc>
          <w:tcPr>
            <w:tcW w:w="420"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lang w:bidi="ar"/>
              </w:rPr>
              <w:t xml:space="preserve">单位</w:t>
            </w:r>
            <w:r/>
          </w:p>
        </w:tc>
        <w:tc>
          <w:tcPr>
            <w:tcW w:w="631"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lang w:bidi="ar"/>
              </w:rPr>
              <w:t xml:space="preserve">年用量</w:t>
            </w:r>
            <w:r/>
          </w:p>
        </w:tc>
        <w:tc>
          <w:tcPr>
            <w:tcW w:w="986" w:type="pct"/>
            <w:vAlign w:val="center"/>
            <w:textDirection w:val="lrTb"/>
            <w:noWrap w:val="false"/>
          </w:tcPr>
          <w:p>
            <w:pPr>
              <w:jc w:val="center"/>
              <w:spacing w:line="360" w:lineRule="auto"/>
              <w:widowControl/>
              <w:rPr>
                <w:rFonts w:hint="eastAsia" w:hAnsi="宋体" w:cs="宋体"/>
                <w:bCs/>
                <w:position w:val="0"/>
                <w:szCs w:val="24"/>
                <w:lang w:bidi="ar"/>
              </w:rPr>
            </w:pPr>
            <w:r>
              <w:rPr>
                <w:rFonts w:hint="eastAsia" w:hAnsi="宋体" w:cs="宋体"/>
                <w:bCs/>
                <w:position w:val="0"/>
                <w:szCs w:val="24"/>
                <w:lang w:bidi="ar"/>
              </w:rPr>
              <w:t xml:space="preserve">单价最高限价（元/单位）</w:t>
            </w:r>
            <w:r/>
          </w:p>
        </w:tc>
      </w:tr>
      <w:tr>
        <w:trPr>
          <w:jc w:val="center"/>
          <w:trHeight w:val="328"/>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79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医用液氧</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纯度≥99.5%</w:t>
            </w:r>
            <w:r/>
          </w:p>
        </w:tc>
        <w:tc>
          <w:tcPr>
            <w:tcW w:w="56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液态</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吨</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1740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1650</w:t>
            </w:r>
            <w:r/>
          </w:p>
        </w:tc>
      </w:tr>
      <w:tr>
        <w:trPr>
          <w:jc w:val="center"/>
          <w:trHeight w:val="298"/>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w:t>
            </w:r>
            <w:r/>
          </w:p>
        </w:tc>
        <w:tc>
          <w:tcPr>
            <w:tcW w:w="79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瓶装医用氧</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纯度≥99.5%</w:t>
            </w:r>
            <w:r/>
          </w:p>
        </w:tc>
        <w:tc>
          <w:tcPr>
            <w:tcW w:w="56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3000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32</w:t>
            </w:r>
            <w:r/>
          </w:p>
        </w:tc>
      </w:tr>
      <w:tr>
        <w:trPr>
          <w:jc w:val="center"/>
          <w:trHeight w:val="238"/>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3</w:t>
            </w:r>
            <w:r/>
          </w:p>
        </w:tc>
        <w:tc>
          <w:tcPr>
            <w:tcW w:w="79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瓶装医用氧</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纯度≥99.5%</w:t>
            </w:r>
            <w:r/>
          </w:p>
        </w:tc>
        <w:tc>
          <w:tcPr>
            <w:tcW w:w="56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28</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w:t>
            </w:r>
            <w:r/>
          </w:p>
        </w:tc>
        <w:tc>
          <w:tcPr>
            <w:tcW w:w="79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瓶装医用氧</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纯度≥99.5%</w:t>
            </w:r>
            <w:r/>
          </w:p>
        </w:tc>
        <w:tc>
          <w:tcPr>
            <w:tcW w:w="56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3000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25</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w:t>
            </w:r>
            <w:r/>
          </w:p>
        </w:tc>
        <w:tc>
          <w:tcPr>
            <w:tcW w:w="79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瓶装医用氧</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纯度≥99.5%</w:t>
            </w:r>
            <w:r/>
          </w:p>
        </w:tc>
        <w:tc>
          <w:tcPr>
            <w:tcW w:w="56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1000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22</w:t>
            </w:r>
            <w:r/>
          </w:p>
        </w:tc>
      </w:tr>
      <w:tr>
        <w:trPr>
          <w:jc w:val="center"/>
          <w:trHeight w:val="193"/>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6</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高氦</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2200</w:t>
            </w:r>
            <w:r/>
          </w:p>
        </w:tc>
      </w:tr>
      <w:tr>
        <w:trPr>
          <w:jc w:val="center"/>
          <w:trHeight w:val="571"/>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7</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混合气</w:t>
            </w:r>
            <w:r/>
          </w:p>
        </w:tc>
        <w:tc>
          <w:tcPr>
            <w:tcW w:w="1195"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CO:0.26% He:17.7% O</w:t>
            </w:r>
            <w:r>
              <w:rPr>
                <w:rFonts w:hint="eastAsia" w:hAnsi="宋体" w:cs="宋体"/>
                <w:b w:val="0"/>
                <w:position w:val="0"/>
                <w:szCs w:val="24"/>
                <w:vertAlign w:val="subscript"/>
                <w:lang w:bidi="ar"/>
              </w:rPr>
              <w:t xml:space="preserve">2</w:t>
            </w:r>
            <w:r>
              <w:rPr>
                <w:rFonts w:hint="eastAsia" w:hAnsi="宋体" w:cs="宋体"/>
                <w:b w:val="0"/>
                <w:position w:val="0"/>
                <w:szCs w:val="24"/>
                <w:lang w:bidi="ar"/>
              </w:rPr>
              <w:t xml:space="preserve">:24% N</w:t>
            </w:r>
            <w:r>
              <w:rPr>
                <w:rFonts w:hint="eastAsia" w:hAnsi="宋体" w:cs="宋体"/>
                <w:b w:val="0"/>
                <w:position w:val="0"/>
                <w:szCs w:val="24"/>
                <w:vertAlign w:val="subscript"/>
                <w:lang w:bidi="ar"/>
              </w:rPr>
              <w:t xml:space="preserve">2</w:t>
            </w:r>
            <w:r>
              <w:rPr>
                <w:rFonts w:hint="eastAsia" w:hAnsi="宋体" w:cs="宋体"/>
                <w:b w:val="0"/>
                <w:position w:val="0"/>
                <w:szCs w:val="24"/>
                <w:lang w:bidi="ar"/>
              </w:rPr>
              <w:t xml:space="preserve">:余</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1600</w:t>
            </w:r>
            <w:r/>
          </w:p>
        </w:tc>
      </w:tr>
      <w:tr>
        <w:trPr>
          <w:jc w:val="center"/>
          <w:trHeight w:val="238"/>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8</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超高氩气</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1200</w:t>
            </w:r>
            <w:r/>
          </w:p>
        </w:tc>
      </w:tr>
      <w:tr>
        <w:trPr>
          <w:jc w:val="center"/>
          <w:trHeight w:val="223"/>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9</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高氩</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280</w:t>
            </w:r>
            <w:r/>
          </w:p>
        </w:tc>
      </w:tr>
      <w:tr>
        <w:trPr>
          <w:jc w:val="center"/>
          <w:trHeight w:val="90"/>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10</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高氩</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180</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11</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纯氩</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89</w:t>
            </w:r>
            <w:r/>
          </w:p>
        </w:tc>
      </w:tr>
      <w:tr>
        <w:trPr>
          <w:jc w:val="center"/>
          <w:trHeight w:val="55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12</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高纯二氧化碳</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300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1400</w:t>
            </w:r>
            <w:r/>
          </w:p>
        </w:tc>
      </w:tr>
      <w:tr>
        <w:trPr>
          <w:jc w:val="center"/>
          <w:trHeight w:val="90"/>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13</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高纯二氧化碳</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700</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14</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高氮</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80</w:t>
            </w:r>
            <w:r/>
          </w:p>
        </w:tc>
      </w:tr>
      <w:tr>
        <w:trPr>
          <w:jc w:val="center"/>
          <w:trHeight w:val="55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15</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普通二氧化碳</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30</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16</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纯氮</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15</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65</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17</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普通氮气</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16</w:t>
            </w:r>
            <w:r/>
          </w:p>
        </w:tc>
      </w:tr>
      <w:tr>
        <w:trPr>
          <w:jc w:val="center"/>
          <w:trHeight w:val="90"/>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18</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一氧化二氮（笑气）</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5</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1400</w:t>
            </w:r>
            <w:r/>
          </w:p>
        </w:tc>
      </w:tr>
      <w:tr>
        <w:trPr>
          <w:jc w:val="center"/>
          <w:trHeight w:val="178"/>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19</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高纯空气</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350</w:t>
            </w:r>
            <w:r/>
          </w:p>
        </w:tc>
      </w:tr>
      <w:tr>
        <w:trPr>
          <w:jc w:val="center"/>
          <w:trHeight w:val="163"/>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20</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液氮</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升</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升</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400</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8</w:t>
            </w:r>
            <w:r/>
          </w:p>
        </w:tc>
      </w:tr>
      <w:tr>
        <w:trPr>
          <w:jc w:val="center"/>
          <w:trHeight w:val="118"/>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21</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乙炔</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纯度≥98%</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70</w:t>
            </w:r>
            <w:r/>
          </w:p>
        </w:tc>
      </w:tr>
      <w:tr>
        <w:trPr>
          <w:jc w:val="center"/>
          <w:trHeight w:val="90"/>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22</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超高纯氢气</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4800</w:t>
            </w:r>
            <w:r/>
          </w:p>
        </w:tc>
      </w:tr>
      <w:tr>
        <w:trPr>
          <w:jc w:val="center"/>
          <w:trHeight w:val="90"/>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23</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高氢</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纯度≥99.999%</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40L</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瓶</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220</w:t>
            </w:r>
            <w:r/>
          </w:p>
        </w:tc>
      </w:tr>
      <w:tr>
        <w:trPr>
          <w:jc w:val="center"/>
          <w:trHeight w:val="285"/>
        </w:trPr>
        <w:tc>
          <w:tcPr>
            <w:tcW w:w="414"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24</w:t>
            </w:r>
            <w:r/>
          </w:p>
        </w:tc>
        <w:tc>
          <w:tcPr>
            <w:tcW w:w="7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六氟化硫</w:t>
            </w:r>
            <w:r/>
          </w:p>
        </w:tc>
        <w:tc>
          <w:tcPr>
            <w:tcW w:w="1195"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纯度≥99.995%</w:t>
            </w:r>
            <w:r/>
          </w:p>
        </w:tc>
        <w:tc>
          <w:tcPr>
            <w:tcW w:w="560"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公斤</w:t>
            </w:r>
            <w:r/>
          </w:p>
        </w:tc>
        <w:tc>
          <w:tcPr>
            <w:tcW w:w="420"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公斤</w:t>
            </w:r>
            <w:r/>
          </w:p>
        </w:tc>
        <w:tc>
          <w:tcPr>
            <w:tcW w:w="63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lang w:bidi="ar"/>
              </w:rPr>
              <w:t xml:space="preserve">1</w:t>
            </w:r>
            <w:r/>
          </w:p>
        </w:tc>
        <w:tc>
          <w:tcPr>
            <w:tcW w:w="986" w:type="pct"/>
            <w:vAlign w:val="center"/>
            <w:textDirection w:val="lrTb"/>
            <w:noWrap w:val="false"/>
          </w:tcPr>
          <w:p>
            <w:pPr>
              <w:jc w:val="center"/>
              <w:spacing w:line="360" w:lineRule="auto"/>
              <w:widowControl/>
              <w:rPr>
                <w:rFonts w:hint="eastAsia" w:hAnsi="宋体" w:cs="宋体"/>
                <w:b w:val="0"/>
                <w:position w:val="0"/>
                <w:szCs w:val="24"/>
                <w:lang w:bidi="ar"/>
              </w:rPr>
            </w:pPr>
            <w:r>
              <w:rPr>
                <w:rFonts w:hint="eastAsia" w:hAnsi="宋体" w:cs="宋体"/>
                <w:b w:val="0"/>
                <w:position w:val="0"/>
                <w:szCs w:val="24"/>
                <w:lang w:bidi="ar"/>
              </w:rPr>
              <w:t xml:space="preserve">115</w:t>
            </w:r>
            <w:r/>
          </w:p>
        </w:tc>
      </w:tr>
    </w:tbl>
    <w:p>
      <w:pPr>
        <w:pStyle w:val="1040"/>
        <w:ind w:firstLine="482"/>
        <w:rPr>
          <w:rFonts w:hint="eastAsia" w:cs="Arial"/>
          <w:bCs/>
          <w:position w:val="0"/>
          <w:szCs w:val="21"/>
        </w:rPr>
      </w:pPr>
      <w:r>
        <w:rPr>
          <w:rFonts w:hint="eastAsia" w:cs="Arial"/>
          <w:bCs/>
          <w:position w:val="0"/>
          <w:szCs w:val="21"/>
        </w:rPr>
        <w:t xml:space="preserve">本项目为统一折扣率报价，最高限价详见上表，投标人所报</w:t>
      </w:r>
      <w:r>
        <w:rPr>
          <w:rFonts w:hint="eastAsia" w:cs="Arial"/>
          <w:bCs/>
          <w:position w:val="0"/>
          <w:szCs w:val="21"/>
          <w:u w:val="single"/>
        </w:rPr>
        <w:t xml:space="preserve">统一折扣率</w:t>
      </w:r>
      <w:r>
        <w:rPr>
          <w:rFonts w:hint="eastAsia" w:cs="Arial"/>
          <w:bCs/>
          <w:position w:val="0"/>
          <w:szCs w:val="21"/>
        </w:rPr>
        <w:t xml:space="preserve">超过100%的将作无效标处理。</w:t>
      </w:r>
      <w:r/>
    </w:p>
    <w:p>
      <w:pPr>
        <w:pStyle w:val="1040"/>
        <w:ind w:firstLine="482"/>
        <w:rPr>
          <w:rFonts w:hint="eastAsia" w:cs="Arial"/>
          <w:bCs/>
          <w:position w:val="0"/>
          <w:szCs w:val="21"/>
        </w:rPr>
      </w:pPr>
      <w:r>
        <w:rPr>
          <w:rFonts w:hint="eastAsia" w:cs="Arial"/>
          <w:bCs/>
          <w:position w:val="0"/>
          <w:szCs w:val="21"/>
          <w:u w:val="single"/>
        </w:rPr>
        <w:t xml:space="preserve">统一折扣率</w:t>
      </w:r>
      <w:r>
        <w:rPr>
          <w:rFonts w:hint="eastAsia" w:cs="Arial"/>
          <w:bCs/>
          <w:position w:val="0"/>
          <w:szCs w:val="21"/>
        </w:rPr>
        <w:t xml:space="preserve">报价是指在结算时，各品目结算单价=各品目单价最高限价×投标人所报统一折扣率。（如医用液氧单价最高限价为1650元，投标人所报统一折扣率为80%，即结算单价为1650×80%=1320元）</w:t>
      </w:r>
      <w:r/>
    </w:p>
    <w:p>
      <w:pPr>
        <w:pStyle w:val="1040"/>
        <w:rPr>
          <w:rFonts w:hint="eastAsia"/>
          <w:b w:val="0"/>
          <w:bCs/>
        </w:rPr>
      </w:pPr>
      <w:r>
        <w:rPr>
          <w:rFonts w:hint="eastAsia"/>
          <w:b w:val="0"/>
          <w:bCs/>
        </w:rPr>
      </w:r>
      <w:r/>
    </w:p>
    <w:p>
      <w:pPr>
        <w:pStyle w:val="1040"/>
        <w:rPr>
          <w:rFonts w:hint="eastAsia"/>
        </w:rPr>
      </w:pPr>
      <w:r>
        <w:rPr>
          <w:rFonts w:hint="eastAsia"/>
        </w:rPr>
        <w:t xml:space="preserve">（二）服务要求</w:t>
      </w:r>
      <w:r/>
    </w:p>
    <w:p>
      <w:pPr>
        <w:pStyle w:val="1040"/>
        <w:rPr>
          <w:rFonts w:hint="eastAsia"/>
          <w:b w:val="0"/>
          <w:bCs/>
        </w:rPr>
      </w:pPr>
      <w:r>
        <w:rPr>
          <w:rFonts w:hint="eastAsia"/>
          <w:b w:val="0"/>
          <w:bCs/>
        </w:rPr>
        <w:t xml:space="preserve">1、投标人应在接到采购人需求通知后24小时内将货品送达。</w:t>
      </w:r>
      <w:r/>
    </w:p>
    <w:p>
      <w:pPr>
        <w:pStyle w:val="1040"/>
        <w:rPr>
          <w:rFonts w:hint="eastAsia"/>
          <w:b w:val="0"/>
          <w:bCs/>
        </w:rPr>
      </w:pPr>
      <w:r>
        <w:rPr>
          <w:rFonts w:hint="eastAsia"/>
          <w:b w:val="0"/>
          <w:bCs/>
        </w:rPr>
        <w:t xml:space="preserve">2、投标人接到采购人紧急通知后2小时内将采购人指定数量的瓶装气体送达至采购人指定地点，气瓶无使用费。</w:t>
      </w:r>
      <w:r/>
    </w:p>
    <w:p>
      <w:pPr>
        <w:pStyle w:val="1040"/>
        <w:rPr>
          <w:rFonts w:hint="eastAsia"/>
          <w:b w:val="0"/>
          <w:bCs/>
        </w:rPr>
      </w:pPr>
      <w:r>
        <w:rPr>
          <w:rFonts w:hint="eastAsia"/>
          <w:b w:val="0"/>
          <w:bCs/>
        </w:rPr>
        <w:t xml:space="preserve">3、投标人配置该项目送货车辆通行证应符合镇江市交通管理局相关规定，确保按院方要求送至需求地点。</w:t>
      </w:r>
      <w:r/>
    </w:p>
    <w:p>
      <w:pPr>
        <w:pStyle w:val="1040"/>
        <w:rPr>
          <w:rFonts w:hint="eastAsia"/>
          <w:b w:val="0"/>
          <w:bCs/>
        </w:rPr>
      </w:pPr>
      <w:r>
        <w:rPr>
          <w:rFonts w:hint="eastAsia"/>
          <w:b w:val="0"/>
          <w:bCs/>
        </w:rPr>
        <w:t xml:space="preserve">4、投标人需具备24小时随叫随到的应急能力，能够派出专业技术人员保障用气供给相关技术保障和服务。由于医院场地限制，投标人必须具备2辆载重14吨以内的医用氧专用槽车。</w:t>
      </w:r>
      <w:r>
        <w:rPr>
          <w:rFonts w:hint="eastAsia"/>
        </w:rPr>
        <w:t xml:space="preserve">（</w:t>
      </w:r>
      <w:r>
        <w:rPr>
          <w:rFonts w:hint="eastAsia"/>
        </w:rPr>
        <w:t xml:space="preserve">提供车辆有效期内的行驶证</w:t>
      </w:r>
      <w:r>
        <w:rPr>
          <w:rFonts w:hint="eastAsia"/>
        </w:rPr>
        <w:t xml:space="preserve">）</w:t>
      </w:r>
      <w:r/>
    </w:p>
    <w:p>
      <w:pPr>
        <w:pStyle w:val="1040"/>
        <w:rPr>
          <w:rFonts w:hint="eastAsia"/>
          <w:b w:val="0"/>
          <w:bCs/>
        </w:rPr>
      </w:pPr>
      <w:r>
        <w:rPr>
          <w:rFonts w:hint="eastAsia"/>
          <w:b w:val="0"/>
          <w:bCs/>
        </w:rPr>
        <w:t xml:space="preserve">5、投标人应充分配置并免费提供服务于本项目的气瓶的数量，包含但不限于（40L医用氧气瓶 300 只、10L气瓶 80 只、4L气瓶 200 只、2L气瓶 50只、40L二氧化碳气瓶 100 只等）。投标人需提供数字化管理系统对院内所有气瓶的有效期、各科室用量、各科室存放量等关键数据进行追踪管理。</w:t>
      </w:r>
      <w:r>
        <w:rPr>
          <w:rFonts w:hint="eastAsia"/>
        </w:rPr>
        <w:t xml:space="preserve">（投标人须在投标文件中提供承诺函，格式自拟）</w:t>
      </w:r>
      <w:r/>
    </w:p>
    <w:p>
      <w:pPr>
        <w:pStyle w:val="1040"/>
        <w:rPr>
          <w:rFonts w:hint="eastAsia"/>
          <w:b w:val="0"/>
          <w:bCs/>
        </w:rPr>
      </w:pPr>
      <w:r>
        <w:rPr>
          <w:rFonts w:hint="eastAsia"/>
          <w:b w:val="0"/>
          <w:bCs/>
        </w:rPr>
        <w:t xml:space="preserve">6、投标人应免费对采购人技术人员进行操作、维护、应急演练等方面的培训，并且提供免费的技术咨询服务。</w:t>
      </w:r>
      <w:r>
        <w:rPr>
          <w:rFonts w:hint="eastAsia"/>
        </w:rPr>
        <w:t xml:space="preserve">（投标人须在投标文件中提供承诺函，格式自拟）</w:t>
      </w:r>
      <w:r/>
    </w:p>
    <w:p>
      <w:pPr>
        <w:pStyle w:val="1040"/>
        <w:rPr>
          <w:rFonts w:hint="eastAsia"/>
          <w:b w:val="0"/>
          <w:bCs/>
        </w:rPr>
      </w:pPr>
      <w:r>
        <w:rPr>
          <w:rFonts w:hint="eastAsia"/>
          <w:b w:val="0"/>
          <w:bCs/>
        </w:rPr>
        <w:t xml:space="preserve">7、投标人负责将货物运到采购人指定地点，由投标人负责办理运输和装卸等，费用由投标人负责，由采购人组织验收，检验不合格或不符合质量要求，投标人</w:t>
      </w:r>
      <w:r>
        <w:rPr>
          <w:rFonts w:hint="eastAsia"/>
          <w:b w:val="0"/>
          <w:bCs/>
        </w:rPr>
        <w:t xml:space="preserve">除无条件退货、返工外，还应承担采购人的一切损失。到货接收货物流程按采购人管理流程执行，投标人应义务配合完成。</w:t>
      </w:r>
      <w:r/>
    </w:p>
    <w:p>
      <w:pPr>
        <w:pStyle w:val="1040"/>
        <w:rPr>
          <w:rFonts w:hint="eastAsia"/>
          <w:b w:val="0"/>
          <w:bCs/>
        </w:rPr>
      </w:pPr>
      <w:r>
        <w:rPr>
          <w:rFonts w:hint="eastAsia"/>
          <w:b w:val="0"/>
          <w:bCs/>
        </w:rPr>
        <w:t xml:space="preserve">8、投标人应配置不少于4人在院方提供24小时驻场服务，现场服务人员需持证上岗，以保障院方气体正常使用，服务内容包括但不限于：每2小时一次巡检、液氧站故障的应急处置、特种设备管理台账、气瓶搬运、医院安排的其他工作等。拟安排的现场服务人员需具有《中华人民共和国特种设备安全管理人员证》（即特种设备A证）。</w:t>
      </w:r>
      <w:r>
        <w:rPr>
          <w:rFonts w:hint="eastAsia"/>
        </w:rPr>
        <w:t xml:space="preserve">（投标人须提供承诺函和相关现场服务人员证件）</w:t>
      </w:r>
      <w:r/>
    </w:p>
    <w:p>
      <w:pPr>
        <w:pStyle w:val="1040"/>
        <w:rPr>
          <w:rFonts w:hint="eastAsia"/>
          <w:b w:val="0"/>
          <w:bCs/>
        </w:rPr>
      </w:pPr>
      <w:r>
        <w:rPr>
          <w:rFonts w:hint="eastAsia"/>
          <w:b w:val="0"/>
          <w:bCs/>
        </w:rPr>
        <w:t xml:space="preserve">9、为满足采购人医用液氧的使用，须由中标人免费提供液氧站供医院免费使用。液氧站具备自动切换功能无需人工切换，储罐及各安全阀门和压力表的的安装、报装建及年检、定期检测、校验，所有费用由投标人承担。服务期内投标人须免费为医院进行一次供养管道测漏服务，保证管道无泄漏。投标人必须确保液氧站①取得合法合规的使用登记证；②保证不间断供气</w:t>
      </w:r>
      <w:r>
        <w:rPr>
          <w:rFonts w:hint="eastAsia"/>
        </w:rPr>
        <w:t xml:space="preserve">（投标人须在投标文件中提供承诺函，格式自拟）</w:t>
      </w:r>
      <w:r/>
    </w:p>
    <w:p>
      <w:pPr>
        <w:pStyle w:val="1040"/>
        <w:rPr>
          <w:rFonts w:hint="eastAsia"/>
          <w:b w:val="0"/>
          <w:bCs/>
        </w:rPr>
      </w:pPr>
      <w:r>
        <w:rPr>
          <w:rFonts w:hint="eastAsia"/>
          <w:b w:val="0"/>
          <w:bCs/>
        </w:rPr>
        <w:t xml:space="preserve">10、液氧站设备组成及参数应符合以下要求（若气站安装后不符合以下要求，采购人将终止合同，而由此给采购人造成的实际损失，投标人应给予足额赔偿，并且气站安装的所有费用由投标人自行承担）</w:t>
      </w:r>
      <w:r/>
    </w:p>
    <w:tbl>
      <w:tblPr>
        <w:tblStyle w:val="1041"/>
        <w:tblW w:w="9073" w:type="dxa"/>
        <w:tblInd w:w="-431" w:type="dxa"/>
        <w:tblLook w:val="04A0" w:firstRow="1" w:lastRow="0" w:firstColumn="1" w:lastColumn="0" w:noHBand="0" w:noVBand="1"/>
      </w:tblPr>
      <w:tblGrid>
        <w:gridCol w:w="1277"/>
        <w:gridCol w:w="777"/>
        <w:gridCol w:w="7019"/>
      </w:tblGrid>
      <w:tr>
        <w:trPr/>
        <w:tc>
          <w:tcPr>
            <w:tcW w:w="1277" w:type="dxa"/>
            <w:vAlign w:val="center"/>
            <w:textDirection w:val="lrTb"/>
            <w:noWrap w:val="false"/>
          </w:tcPr>
          <w:p>
            <w:pPr>
              <w:jc w:val="center"/>
              <w:spacing w:line="360" w:lineRule="auto"/>
              <w:rPr>
                <w:rFonts w:hint="eastAsia" w:hAnsi="宋体"/>
                <w:bCs/>
                <w:position w:val="0"/>
                <w:szCs w:val="24"/>
              </w:rPr>
            </w:pPr>
            <w:r>
              <w:rPr>
                <w:rFonts w:hint="eastAsia" w:hAnsi="宋体"/>
                <w:bCs/>
                <w:position w:val="0"/>
                <w:szCs w:val="24"/>
              </w:rPr>
              <w:t xml:space="preserve">设备名称</w:t>
            </w:r>
            <w:r/>
          </w:p>
        </w:tc>
        <w:tc>
          <w:tcPr>
            <w:tcW w:w="777" w:type="dxa"/>
            <w:vAlign w:val="center"/>
            <w:textDirection w:val="lrTb"/>
            <w:noWrap w:val="false"/>
          </w:tcPr>
          <w:p>
            <w:pPr>
              <w:jc w:val="center"/>
              <w:spacing w:line="360" w:lineRule="auto"/>
              <w:rPr>
                <w:rFonts w:hint="eastAsia" w:hAnsi="宋体"/>
                <w:bCs/>
                <w:position w:val="0"/>
                <w:szCs w:val="24"/>
              </w:rPr>
            </w:pPr>
            <w:r>
              <w:rPr>
                <w:rFonts w:hint="eastAsia" w:hAnsi="宋体"/>
                <w:bCs/>
                <w:position w:val="0"/>
                <w:szCs w:val="24"/>
              </w:rPr>
              <w:t xml:space="preserve">数量</w:t>
            </w:r>
            <w:r/>
          </w:p>
        </w:tc>
        <w:tc>
          <w:tcPr>
            <w:tcW w:w="7019" w:type="dxa"/>
            <w:vAlign w:val="center"/>
            <w:textDirection w:val="lrTb"/>
            <w:noWrap w:val="false"/>
          </w:tcPr>
          <w:p>
            <w:pPr>
              <w:jc w:val="center"/>
              <w:spacing w:line="360" w:lineRule="auto"/>
              <w:rPr>
                <w:rFonts w:hint="eastAsia" w:hAnsi="宋体"/>
                <w:bCs/>
                <w:position w:val="0"/>
                <w:szCs w:val="24"/>
              </w:rPr>
            </w:pPr>
            <w:r>
              <w:rPr>
                <w:rFonts w:hint="eastAsia" w:hAnsi="宋体"/>
                <w:bCs/>
                <w:position w:val="0"/>
                <w:szCs w:val="24"/>
              </w:rPr>
              <w:t xml:space="preserve">技术要求</w:t>
            </w:r>
            <w:r/>
          </w:p>
        </w:tc>
      </w:tr>
      <w:tr>
        <w:trPr/>
        <w:tc>
          <w:tcPr>
            <w:tcW w:w="12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液氧站</w:t>
            </w:r>
            <w:r/>
          </w:p>
        </w:tc>
        <w:tc>
          <w:tcPr>
            <w:tcW w:w="7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1套</w:t>
            </w:r>
            <w:r/>
          </w:p>
        </w:tc>
        <w:tc>
          <w:tcPr>
            <w:tcW w:w="7019" w:type="dxa"/>
            <w:textDirection w:val="lrTb"/>
            <w:noWrap w:val="false"/>
          </w:tcPr>
          <w:p>
            <w:pPr>
              <w:numPr>
                <w:ilvl w:val="0"/>
                <w:numId w:val="4"/>
              </w:numPr>
              <w:spacing w:line="360" w:lineRule="auto"/>
              <w:rPr>
                <w:rFonts w:hint="eastAsia" w:hAnsi="宋体"/>
                <w:b w:val="0"/>
                <w:position w:val="0"/>
                <w:szCs w:val="24"/>
              </w:rPr>
            </w:pPr>
            <w:r>
              <w:rPr>
                <w:rFonts w:hint="eastAsia" w:hAnsi="宋体"/>
                <w:b w:val="0"/>
                <w:position w:val="0"/>
                <w:szCs w:val="24"/>
              </w:rPr>
              <w:t xml:space="preserve">储罐容积不大于4.99 m³，储罐正常工作最高压力不小于1.6 MPa；</w:t>
            </w:r>
            <w:r/>
          </w:p>
          <w:p>
            <w:pPr>
              <w:numPr>
                <w:ilvl w:val="0"/>
                <w:numId w:val="4"/>
              </w:numPr>
              <w:spacing w:line="360" w:lineRule="auto"/>
              <w:rPr>
                <w:rFonts w:hint="eastAsia" w:hAnsi="宋体"/>
                <w:b w:val="0"/>
                <w:position w:val="0"/>
                <w:szCs w:val="24"/>
              </w:rPr>
            </w:pPr>
            <w:r>
              <w:rPr>
                <w:rFonts w:hint="eastAsia" w:hAnsi="宋体"/>
                <w:b w:val="0"/>
                <w:position w:val="0"/>
                <w:szCs w:val="24"/>
              </w:rPr>
              <w:t xml:space="preserve">储罐间须具有自动切换功能，储罐压力可自动调节，无需人为干预；</w:t>
            </w:r>
            <w:r/>
          </w:p>
          <w:p>
            <w:pPr>
              <w:numPr>
                <w:ilvl w:val="0"/>
                <w:numId w:val="4"/>
              </w:numPr>
              <w:spacing w:line="360" w:lineRule="auto"/>
              <w:rPr>
                <w:rFonts w:hint="eastAsia" w:hAnsi="宋体"/>
                <w:b w:val="0"/>
                <w:position w:val="0"/>
                <w:szCs w:val="24"/>
              </w:rPr>
            </w:pPr>
            <w:r>
              <w:rPr>
                <w:rFonts w:hint="eastAsia" w:hAnsi="宋体"/>
                <w:b w:val="0"/>
                <w:position w:val="0"/>
                <w:szCs w:val="24"/>
              </w:rPr>
              <w:t xml:space="preserve">储罐具有节气功能、储罐液相出口具备防倒流功能；</w:t>
            </w:r>
            <w:r/>
          </w:p>
          <w:p>
            <w:pPr>
              <w:numPr>
                <w:ilvl w:val="0"/>
                <w:numId w:val="4"/>
              </w:numPr>
              <w:spacing w:line="360" w:lineRule="auto"/>
              <w:rPr>
                <w:rFonts w:hint="eastAsia" w:hAnsi="宋体"/>
                <w:b w:val="0"/>
                <w:position w:val="0"/>
                <w:szCs w:val="24"/>
              </w:rPr>
            </w:pPr>
            <w:r>
              <w:rPr>
                <w:rFonts w:hint="eastAsia" w:hAnsi="宋体"/>
                <w:b w:val="0"/>
                <w:position w:val="0"/>
                <w:szCs w:val="24"/>
              </w:rPr>
              <w:t xml:space="preserve">汽化器、减压阀组、安全附件等主要设备及阀门均须采用一用一备的设计；</w:t>
            </w:r>
            <w:r/>
          </w:p>
          <w:p>
            <w:pPr>
              <w:numPr>
                <w:ilvl w:val="0"/>
                <w:numId w:val="4"/>
              </w:numPr>
              <w:spacing w:line="360" w:lineRule="auto"/>
              <w:rPr>
                <w:rFonts w:hint="eastAsia" w:hAnsi="宋体"/>
                <w:b w:val="0"/>
                <w:position w:val="0"/>
                <w:szCs w:val="24"/>
              </w:rPr>
            </w:pPr>
            <w:r>
              <w:rPr>
                <w:rFonts w:hint="eastAsia" w:hAnsi="宋体"/>
                <w:b w:val="0"/>
                <w:position w:val="0"/>
                <w:szCs w:val="24"/>
              </w:rPr>
              <w:t xml:space="preserve">峰值流量输出不小于300 Nm³/h。</w:t>
            </w:r>
            <w:r/>
          </w:p>
        </w:tc>
      </w:tr>
      <w:tr>
        <w:trPr/>
        <w:tc>
          <w:tcPr>
            <w:tcW w:w="12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液氧储罐</w:t>
            </w:r>
            <w:r/>
          </w:p>
        </w:tc>
        <w:tc>
          <w:tcPr>
            <w:tcW w:w="7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4台</w:t>
            </w:r>
            <w:r/>
          </w:p>
        </w:tc>
        <w:tc>
          <w:tcPr>
            <w:tcW w:w="7019" w:type="dxa"/>
            <w:vAlign w:val="center"/>
            <w:textDirection w:val="lrTb"/>
            <w:noWrap w:val="false"/>
          </w:tcPr>
          <w:p>
            <w:pPr>
              <w:numPr>
                <w:ilvl w:val="0"/>
                <w:numId w:val="5"/>
              </w:numPr>
              <w:spacing w:line="360" w:lineRule="auto"/>
              <w:rPr>
                <w:rFonts w:hint="eastAsia" w:hAnsi="宋体"/>
                <w:b w:val="0"/>
                <w:position w:val="0"/>
                <w:szCs w:val="24"/>
              </w:rPr>
            </w:pPr>
            <w:r>
              <w:rPr>
                <w:rFonts w:hint="eastAsia" w:hAnsi="宋体"/>
                <w:b w:val="0"/>
                <w:position w:val="0"/>
                <w:szCs w:val="24"/>
              </w:rPr>
              <w:t xml:space="preserve">储罐容积≤4.99 m³，设计压力1.7 MPa；</w:t>
            </w:r>
            <w:r/>
          </w:p>
          <w:p>
            <w:pPr>
              <w:numPr>
                <w:ilvl w:val="0"/>
                <w:numId w:val="5"/>
              </w:numPr>
              <w:spacing w:line="360" w:lineRule="auto"/>
              <w:rPr>
                <w:rFonts w:hint="eastAsia" w:hAnsi="宋体"/>
                <w:b w:val="0"/>
                <w:position w:val="0"/>
                <w:szCs w:val="24"/>
              </w:rPr>
            </w:pPr>
            <w:r>
              <w:rPr>
                <w:rFonts w:hint="eastAsia" w:hAnsi="宋体"/>
                <w:b w:val="0"/>
                <w:position w:val="0"/>
                <w:szCs w:val="24"/>
              </w:rPr>
              <w:t xml:space="preserve">设计标准符合GB/T150.1-GB/T150.4-2011《压力容器》、GB/T18442.1-GB/18442.6-2019《固定式真空绝热深冷压力容器》、GB/T18422.7-2017《固定式真空绝热深冷压力容器第7</w:t>
            </w:r>
            <w:r>
              <w:rPr>
                <w:rFonts w:hint="eastAsia" w:hAnsi="宋体"/>
                <w:b w:val="0"/>
                <w:position w:val="0"/>
                <w:szCs w:val="24"/>
              </w:rPr>
              <w:t xml:space="preserve">部分：内容器应变强化技术规定》；</w:t>
            </w:r>
            <w:r/>
          </w:p>
          <w:p>
            <w:pPr>
              <w:numPr>
                <w:ilvl w:val="0"/>
                <w:numId w:val="5"/>
              </w:numPr>
              <w:spacing w:line="360" w:lineRule="auto"/>
              <w:rPr>
                <w:rFonts w:hint="eastAsia" w:hAnsi="宋体"/>
                <w:b w:val="0"/>
                <w:position w:val="0"/>
                <w:szCs w:val="24"/>
              </w:rPr>
            </w:pPr>
            <w:r>
              <w:rPr>
                <w:rFonts w:hint="eastAsia" w:hAnsi="宋体"/>
                <w:b w:val="0"/>
                <w:position w:val="0"/>
                <w:szCs w:val="24"/>
              </w:rPr>
              <w:t xml:space="preserve">储罐上均采用合格优质阀门；</w:t>
            </w:r>
            <w:r/>
          </w:p>
          <w:p>
            <w:pPr>
              <w:numPr>
                <w:ilvl w:val="0"/>
                <w:numId w:val="5"/>
              </w:numPr>
              <w:spacing w:line="360" w:lineRule="auto"/>
              <w:rPr>
                <w:rFonts w:hint="eastAsia" w:hAnsi="宋体"/>
                <w:b w:val="0"/>
                <w:position w:val="0"/>
                <w:szCs w:val="24"/>
              </w:rPr>
            </w:pPr>
            <w:r>
              <w:rPr>
                <w:rFonts w:hint="eastAsia" w:hAnsi="宋体"/>
                <w:b w:val="0"/>
                <w:position w:val="0"/>
                <w:szCs w:val="24"/>
              </w:rPr>
              <w:t xml:space="preserve">产品设计使用年限≥50年；</w:t>
            </w:r>
            <w:r/>
          </w:p>
        </w:tc>
      </w:tr>
      <w:tr>
        <w:trPr/>
        <w:tc>
          <w:tcPr>
            <w:tcW w:w="12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汽化器</w:t>
            </w:r>
            <w:r/>
          </w:p>
          <w:p>
            <w:pPr>
              <w:jc w:val="center"/>
              <w:spacing w:line="360" w:lineRule="auto"/>
              <w:rPr>
                <w:rFonts w:hint="eastAsia" w:hAnsi="宋体"/>
                <w:b w:val="0"/>
                <w:position w:val="0"/>
                <w:szCs w:val="24"/>
              </w:rPr>
            </w:pPr>
            <w:r>
              <w:rPr>
                <w:rFonts w:hint="eastAsia" w:hAnsi="宋体"/>
                <w:b w:val="0"/>
                <w:position w:val="0"/>
                <w:szCs w:val="24"/>
              </w:rPr>
              <w:t xml:space="preserve">1000 Nm³/h</w:t>
            </w:r>
            <w:r/>
          </w:p>
        </w:tc>
        <w:tc>
          <w:tcPr>
            <w:tcW w:w="7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3台</w:t>
            </w:r>
            <w:r/>
          </w:p>
        </w:tc>
        <w:tc>
          <w:tcPr>
            <w:tcW w:w="7019" w:type="dxa"/>
            <w:vAlign w:val="center"/>
            <w:textDirection w:val="lrTb"/>
            <w:noWrap w:val="false"/>
          </w:tcPr>
          <w:p>
            <w:pPr>
              <w:numPr>
                <w:ilvl w:val="0"/>
                <w:numId w:val="6"/>
              </w:numPr>
              <w:spacing w:line="360" w:lineRule="auto"/>
              <w:rPr>
                <w:rFonts w:hint="eastAsia" w:hAnsi="宋体"/>
                <w:b w:val="0"/>
                <w:position w:val="0"/>
                <w:szCs w:val="24"/>
              </w:rPr>
            </w:pPr>
            <w:r>
              <w:rPr>
                <w:rFonts w:hint="eastAsia" w:hAnsi="宋体"/>
                <w:b w:val="0"/>
                <w:position w:val="0"/>
                <w:szCs w:val="24"/>
              </w:rPr>
              <w:t xml:space="preserve">设计压力4 MPa，工作压力4 MPa；</w:t>
            </w:r>
            <w:r/>
          </w:p>
          <w:p>
            <w:pPr>
              <w:numPr>
                <w:ilvl w:val="0"/>
                <w:numId w:val="6"/>
              </w:numPr>
              <w:spacing w:line="360" w:lineRule="auto"/>
              <w:rPr>
                <w:rFonts w:hint="eastAsia" w:hAnsi="宋体"/>
                <w:b w:val="0"/>
                <w:position w:val="0"/>
                <w:szCs w:val="24"/>
              </w:rPr>
            </w:pPr>
            <w:r>
              <w:rPr>
                <w:rFonts w:hint="eastAsia" w:hAnsi="宋体"/>
                <w:b w:val="0"/>
                <w:position w:val="0"/>
                <w:szCs w:val="24"/>
              </w:rPr>
              <w:t xml:space="preserve">主体材质为防锈铝合金牌号3003/6063。</w:t>
            </w:r>
            <w:r/>
          </w:p>
        </w:tc>
      </w:tr>
      <w:tr>
        <w:trPr/>
        <w:tc>
          <w:tcPr>
            <w:tcW w:w="12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调压阀DN40</w:t>
            </w:r>
            <w:r/>
          </w:p>
        </w:tc>
        <w:tc>
          <w:tcPr>
            <w:tcW w:w="7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3路</w:t>
            </w:r>
            <w:r/>
          </w:p>
        </w:tc>
        <w:tc>
          <w:tcPr>
            <w:tcW w:w="7019" w:type="dxa"/>
            <w:vAlign w:val="center"/>
            <w:textDirection w:val="lrTb"/>
            <w:noWrap w:val="false"/>
          </w:tcPr>
          <w:p>
            <w:pPr>
              <w:numPr>
                <w:ilvl w:val="0"/>
                <w:numId w:val="7"/>
              </w:numPr>
              <w:spacing w:line="360" w:lineRule="auto"/>
              <w:rPr>
                <w:rFonts w:hint="eastAsia" w:hAnsi="宋体"/>
                <w:b w:val="0"/>
                <w:position w:val="0"/>
                <w:szCs w:val="24"/>
              </w:rPr>
            </w:pPr>
            <w:r>
              <w:rPr>
                <w:rFonts w:hint="eastAsia" w:hAnsi="宋体"/>
                <w:b w:val="0"/>
                <w:position w:val="0"/>
                <w:szCs w:val="24"/>
              </w:rPr>
              <w:t xml:space="preserve">出口压力区间满足0.05-3 MPa；</w:t>
            </w:r>
            <w:r/>
          </w:p>
          <w:p>
            <w:pPr>
              <w:numPr>
                <w:ilvl w:val="0"/>
                <w:numId w:val="7"/>
              </w:numPr>
              <w:spacing w:line="360" w:lineRule="auto"/>
              <w:rPr>
                <w:rFonts w:hint="eastAsia" w:hAnsi="宋体"/>
                <w:b w:val="0"/>
                <w:position w:val="0"/>
                <w:szCs w:val="24"/>
              </w:rPr>
            </w:pPr>
            <w:r>
              <w:rPr>
                <w:rFonts w:hint="eastAsia" w:hAnsi="宋体"/>
                <w:b w:val="0"/>
                <w:position w:val="0"/>
                <w:szCs w:val="24"/>
              </w:rPr>
              <w:t xml:space="preserve">温度区间满足-30℃至50℃；</w:t>
            </w:r>
            <w:r/>
          </w:p>
          <w:p>
            <w:pPr>
              <w:numPr>
                <w:ilvl w:val="0"/>
                <w:numId w:val="7"/>
              </w:numPr>
              <w:spacing w:line="360" w:lineRule="auto"/>
              <w:rPr>
                <w:rFonts w:hint="eastAsia" w:hAnsi="宋体"/>
                <w:b w:val="0"/>
                <w:position w:val="0"/>
                <w:szCs w:val="24"/>
              </w:rPr>
            </w:pPr>
            <w:r>
              <w:rPr>
                <w:rFonts w:hint="eastAsia" w:hAnsi="宋体"/>
                <w:b w:val="0"/>
                <w:position w:val="0"/>
                <w:szCs w:val="24"/>
              </w:rPr>
              <w:t xml:space="preserve">通过液体流量≥3.6 m³/h（Kv值≥3.6）；</w:t>
            </w:r>
            <w:r/>
          </w:p>
          <w:p>
            <w:pPr>
              <w:numPr>
                <w:ilvl w:val="0"/>
                <w:numId w:val="7"/>
              </w:numPr>
              <w:spacing w:line="360" w:lineRule="auto"/>
              <w:rPr>
                <w:rFonts w:hint="eastAsia" w:hAnsi="宋体"/>
                <w:b w:val="0"/>
                <w:position w:val="0"/>
                <w:szCs w:val="24"/>
              </w:rPr>
            </w:pPr>
            <w:r>
              <w:rPr>
                <w:rFonts w:hint="eastAsia" w:hAnsi="宋体"/>
                <w:b w:val="0"/>
                <w:position w:val="0"/>
                <w:szCs w:val="24"/>
              </w:rPr>
              <w:t xml:space="preserve">阀体材质为黄铜；</w:t>
            </w:r>
            <w:r/>
          </w:p>
          <w:p>
            <w:pPr>
              <w:numPr>
                <w:ilvl w:val="0"/>
                <w:numId w:val="7"/>
              </w:numPr>
              <w:spacing w:line="360" w:lineRule="auto"/>
              <w:rPr>
                <w:rFonts w:hint="eastAsia" w:hAnsi="宋体"/>
                <w:b w:val="0"/>
                <w:position w:val="0"/>
                <w:szCs w:val="24"/>
              </w:rPr>
            </w:pPr>
            <w:r>
              <w:rPr>
                <w:rFonts w:hint="eastAsia" w:hAnsi="宋体"/>
                <w:b w:val="0"/>
                <w:position w:val="0"/>
                <w:szCs w:val="24"/>
              </w:rPr>
              <w:t xml:space="preserve">符合DIN EN ISO 7291 标准（关闭后压力上升系数≤0.22，不均匀系数≤0.08）。</w:t>
            </w:r>
            <w:r/>
          </w:p>
        </w:tc>
      </w:tr>
      <w:tr>
        <w:trPr/>
        <w:tc>
          <w:tcPr>
            <w:tcW w:w="12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截止阀DN40</w:t>
            </w:r>
            <w:r/>
          </w:p>
          <w:p>
            <w:pPr>
              <w:jc w:val="center"/>
              <w:spacing w:line="360" w:lineRule="auto"/>
              <w:rPr>
                <w:rFonts w:hint="eastAsia" w:hAnsi="宋体"/>
                <w:b w:val="0"/>
                <w:position w:val="0"/>
                <w:szCs w:val="24"/>
              </w:rPr>
            </w:pPr>
            <w:r>
              <w:rPr>
                <w:rFonts w:hint="eastAsia" w:hAnsi="宋体"/>
                <w:b w:val="0"/>
                <w:position w:val="0"/>
                <w:szCs w:val="24"/>
              </w:rPr>
              <w:t xml:space="preserve">（不含储罐）</w:t>
            </w:r>
            <w:r/>
          </w:p>
        </w:tc>
        <w:tc>
          <w:tcPr>
            <w:tcW w:w="7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＞15个</w:t>
            </w:r>
            <w:r/>
          </w:p>
        </w:tc>
        <w:tc>
          <w:tcPr>
            <w:tcW w:w="7019" w:type="dxa"/>
            <w:vAlign w:val="center"/>
            <w:textDirection w:val="lrTb"/>
            <w:noWrap w:val="false"/>
          </w:tcPr>
          <w:p>
            <w:pPr>
              <w:numPr>
                <w:ilvl w:val="0"/>
                <w:numId w:val="8"/>
              </w:numPr>
              <w:spacing w:line="360" w:lineRule="auto"/>
              <w:rPr>
                <w:rFonts w:hint="eastAsia" w:hAnsi="宋体"/>
                <w:b w:val="0"/>
                <w:position w:val="0"/>
                <w:szCs w:val="24"/>
              </w:rPr>
            </w:pPr>
            <w:r>
              <w:rPr>
                <w:rFonts w:hint="eastAsia" w:hAnsi="宋体"/>
                <w:b w:val="0"/>
                <w:position w:val="0"/>
                <w:szCs w:val="24"/>
              </w:rPr>
              <w:t xml:space="preserve">公称压力区间满足0.1-5 MPa；</w:t>
            </w:r>
            <w:r/>
          </w:p>
          <w:p>
            <w:pPr>
              <w:numPr>
                <w:ilvl w:val="0"/>
                <w:numId w:val="8"/>
              </w:numPr>
              <w:spacing w:line="360" w:lineRule="auto"/>
              <w:rPr>
                <w:rFonts w:hint="eastAsia" w:hAnsi="宋体"/>
                <w:b w:val="0"/>
                <w:position w:val="0"/>
                <w:szCs w:val="24"/>
              </w:rPr>
            </w:pPr>
            <w:r>
              <w:rPr>
                <w:rFonts w:hint="eastAsia" w:hAnsi="宋体"/>
                <w:b w:val="0"/>
                <w:position w:val="0"/>
                <w:szCs w:val="24"/>
              </w:rPr>
              <w:t xml:space="preserve">温度区间满足-196℃至120℃；</w:t>
            </w:r>
            <w:r/>
          </w:p>
          <w:p>
            <w:pPr>
              <w:numPr>
                <w:ilvl w:val="0"/>
                <w:numId w:val="8"/>
              </w:numPr>
              <w:spacing w:line="360" w:lineRule="auto"/>
              <w:rPr>
                <w:rFonts w:hint="eastAsia" w:hAnsi="宋体"/>
                <w:b w:val="0"/>
                <w:position w:val="0"/>
                <w:szCs w:val="24"/>
              </w:rPr>
            </w:pPr>
            <w:r>
              <w:rPr>
                <w:rFonts w:hint="eastAsia" w:hAnsi="宋体"/>
                <w:b w:val="0"/>
                <w:position w:val="0"/>
                <w:szCs w:val="24"/>
              </w:rPr>
              <w:t xml:space="preserve">密封设计为金属硬密封；</w:t>
            </w:r>
            <w:r/>
          </w:p>
          <w:p>
            <w:pPr>
              <w:numPr>
                <w:ilvl w:val="0"/>
                <w:numId w:val="8"/>
              </w:numPr>
              <w:spacing w:line="360" w:lineRule="auto"/>
              <w:rPr>
                <w:rFonts w:hint="eastAsia" w:hAnsi="宋体"/>
                <w:b w:val="0"/>
                <w:position w:val="0"/>
                <w:szCs w:val="24"/>
              </w:rPr>
            </w:pPr>
            <w:r>
              <w:rPr>
                <w:rFonts w:hint="eastAsia" w:hAnsi="宋体"/>
                <w:b w:val="0"/>
                <w:position w:val="0"/>
                <w:szCs w:val="24"/>
              </w:rPr>
              <w:t xml:space="preserve">阀体材质为316L不锈钢。</w:t>
            </w:r>
            <w:r/>
          </w:p>
        </w:tc>
      </w:tr>
      <w:tr>
        <w:trPr/>
        <w:tc>
          <w:tcPr>
            <w:tcW w:w="12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远程监控</w:t>
            </w:r>
            <w:r/>
          </w:p>
        </w:tc>
        <w:tc>
          <w:tcPr>
            <w:tcW w:w="77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1套</w:t>
            </w:r>
            <w:r/>
          </w:p>
        </w:tc>
        <w:tc>
          <w:tcPr>
            <w:tcW w:w="7019"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提供远程液位监控设备和配套数据管理系统（程序），实现采购人订货自动化和气站液位-压力数据移动终端即时监控，无需人为干预。</w:t>
            </w:r>
            <w:r/>
          </w:p>
        </w:tc>
      </w:tr>
    </w:tbl>
    <w:p>
      <w:pPr>
        <w:pStyle w:val="1040"/>
        <w:rPr>
          <w:rFonts w:hint="eastAsia"/>
          <w:b w:val="0"/>
          <w:bCs/>
        </w:rPr>
      </w:pPr>
      <w:r>
        <w:rPr>
          <w:rFonts w:hint="eastAsia"/>
          <w:b w:val="0"/>
          <w:bCs/>
        </w:rPr>
      </w:r>
      <w:r/>
    </w:p>
    <w:p>
      <w:pPr>
        <w:jc w:val="left"/>
        <w:spacing w:before="156" w:after="156" w:line="336"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技术需求中所有指标必须全部响应，任意一项不满足将判定为无效投标</w:t>
      </w:r>
      <w:r/>
    </w:p>
    <w:p>
      <w:pPr>
        <w:pStyle w:val="1040"/>
        <w:rPr>
          <w:rFonts w:hint="eastAsia"/>
        </w:rPr>
      </w:pPr>
      <w:r>
        <w:rPr>
          <w:rFonts w:hint="eastAsia"/>
        </w:rPr>
      </w:r>
      <w:r/>
    </w:p>
    <w:p>
      <w:pPr>
        <w:ind w:right="342"/>
        <w:spacing w:line="360" w:lineRule="auto"/>
        <w:rPr>
          <w:rFonts w:hint="eastAsia" w:hAnsi="宋体" w:cs="宋体"/>
          <w:b w:val="0"/>
          <w:szCs w:val="24"/>
        </w:rPr>
      </w:pPr>
      <w:r>
        <w:rPr>
          <w:rFonts w:hint="eastAsia" w:hAnsi="宋体" w:cs="宋体"/>
          <w:b w:val="0"/>
          <w:szCs w:val="24"/>
        </w:rPr>
      </w:r>
      <w:r/>
    </w:p>
    <w:p>
      <w:pPr>
        <w:pStyle w:val="1003"/>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
    </w:p>
    <w:p>
      <w:pPr>
        <w:jc w:val="left"/>
        <w:spacing w:line="360" w:lineRule="auto"/>
        <w:rPr>
          <w:rFonts w:hint="eastAsia" w:hAnsi="宋体" w:cs="宋体"/>
          <w:bCs/>
        </w:rPr>
        <w:outlineLvl w:val="0"/>
      </w:pPr>
      <w:r/>
      <w:bookmarkStart w:id="268" w:name="_Toc174468380"/>
      <w:r>
        <w:rPr>
          <w:rFonts w:hint="eastAsia" w:hAnsi="宋体" w:cs="宋体"/>
          <w:bCs/>
        </w:rPr>
        <w:t xml:space="preserve">★二、商务需求</w:t>
      </w:r>
      <w:bookmarkEnd w:id="265"/>
      <w:r/>
      <w:bookmarkEnd w:id="268"/>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服务期限</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3年</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2</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费用按月结算，次月10日前，投标人将上月实际送货的品种、数量、单价、金额报采购人，经采购人复核确认后，通知供应商开具相应金额的正规发票，采购人收到发票后一次性无息支付上一月度费用。</w:t>
            </w:r>
            <w:r/>
          </w:p>
          <w:p>
            <w:pPr>
              <w:spacing w:line="360" w:lineRule="auto"/>
              <w:widowControl/>
              <w:rPr>
                <w:rFonts w:hint="eastAsia" w:hAnsi="宋体"/>
                <w:b w:val="0"/>
                <w:bCs/>
              </w:rPr>
            </w:pPr>
            <w:r>
              <w:rPr>
                <w:rFonts w:hint="eastAsia" w:hAnsi="宋体" w:cs="宋体"/>
                <w:b w:val="0"/>
                <w:bCs/>
                <w:position w:val="0"/>
                <w:szCs w:val="24"/>
              </w:rPr>
              <w:t xml:space="preserve">当采购预估数量与实际需求数量不一致时，中标供应商应根据实际需求量提供，最终结算金额按实际使用量乘以固定综合单价进行计算。</w:t>
            </w:r>
            <w:r/>
          </w:p>
        </w:tc>
      </w:tr>
    </w:tbl>
    <w:p>
      <w:pPr>
        <w:jc w:val="left"/>
        <w:spacing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60" w:lineRule="auto"/>
        <w:rPr>
          <w:rFonts w:hint="eastAsia" w:hAnsi="宋体" w:cs="宋体"/>
          <w:position w:val="0"/>
          <w:szCs w:val="24"/>
        </w:rPr>
      </w:pPr>
      <w:r/>
      <w:bookmarkStart w:id="269" w:name="_Toc174468391"/>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36"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1003"/>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36" w:lineRule="auto"/>
        <w:rPr>
          <w:rFonts w:hint="eastAsia" w:hAnsi="宋体" w:cs="宋体"/>
          <w:b w:val="0"/>
        </w:rPr>
        <w:outlineLvl w:val="0"/>
      </w:pPr>
      <w:r/>
      <w:bookmarkStart w:id="270" w:name="_Hlk174549820"/>
      <w:r>
        <w:rPr>
          <w:rFonts w:hint="eastAsia"/>
          <w:b w:val="0"/>
          <w:bCs/>
        </w:rPr>
        <w:t xml:space="preserve">本项目不收取履约保证金</w:t>
      </w:r>
      <w:bookmarkEnd w:id="270"/>
      <w:r>
        <w:rPr>
          <w:rFonts w:hint="eastAsia" w:hAnsi="宋体" w:cs="宋体"/>
          <w:b w:val="0"/>
          <w:bCs/>
          <w:szCs w:val="21"/>
        </w:rPr>
        <w:t xml:space="preserve">。</w:t>
      </w:r>
      <w:bookmarkEnd w:id="269"/>
      <w:r>
        <w:rPr>
          <w:rFonts w:hAnsi="宋体" w:cs="宋体"/>
          <w:sz w:val="20"/>
        </w:rPr>
        <w:br w:type="page" w:clear="all"/>
      </w:r>
      <w:r/>
    </w:p>
    <w:p>
      <w:pPr>
        <w:pStyle w:val="978"/>
        <w:spacing w:line="360" w:lineRule="auto"/>
        <w:rPr>
          <w:rFonts w:hint="eastAsia" w:ascii="宋体" w:hAnsi="宋体" w:eastAsia="宋体" w:cs="宋体"/>
          <w:b/>
          <w:bCs/>
          <w:sz w:val="44"/>
        </w:rPr>
      </w:pPr>
      <w:r/>
      <w:bookmarkStart w:id="271" w:name="_Toc174468392"/>
      <w:r/>
      <w:bookmarkEnd w:id="266"/>
      <w:r/>
      <w:bookmarkEnd w:id="267"/>
      <w:r>
        <w:rPr>
          <w:rFonts w:hint="eastAsia" w:ascii="宋体" w:hAnsi="宋体" w:eastAsia="宋体" w:cs="宋体"/>
          <w:b/>
          <w:bCs/>
          <w:sz w:val="44"/>
        </w:rPr>
        <w:t xml:space="preserve">第五章  评标方法与评标标准</w:t>
      </w:r>
      <w:bookmarkEnd w:id="271"/>
      <w:r/>
      <w:r/>
    </w:p>
    <w:p>
      <w:pPr>
        <w:jc w:val="left"/>
        <w:spacing w:line="360" w:lineRule="auto"/>
        <w:rPr>
          <w:rFonts w:hint="eastAsia" w:hAnsi="宋体" w:cs="宋体"/>
          <w:b w:val="0"/>
          <w:bCs/>
          <w:sz w:val="28"/>
          <w:szCs w:val="28"/>
        </w:rPr>
      </w:pPr>
      <w:r/>
      <w:bookmarkStart w:id="272" w:name="_Toc460901585"/>
      <w:r/>
      <w:bookmarkStart w:id="273" w:name="_Toc120614283"/>
      <w:r/>
      <w:bookmarkStart w:id="274" w:name="_Toc49090577"/>
      <w:r/>
      <w:bookmarkStart w:id="275" w:name="_Toc23828478"/>
      <w:r/>
      <w:bookmarkStart w:id="276" w:name="_Toc513029276"/>
      <w:r/>
      <w:bookmarkStart w:id="277" w:name="_Toc26554095"/>
      <w:r/>
      <w:bookmarkStart w:id="278" w:name="_Toc22356580"/>
      <w:r>
        <w:rPr>
          <w:rFonts w:hint="eastAsia" w:hAnsi="宋体" w:cs="宋体"/>
          <w:b w:val="0"/>
          <w:bCs/>
          <w:sz w:val="28"/>
          <w:szCs w:val="28"/>
        </w:rPr>
        <w:t xml:space="preserve">一、评标方法</w:t>
      </w:r>
      <w:r/>
    </w:p>
    <w:p>
      <w:pPr>
        <w:ind w:firstLine="446"/>
        <w:spacing w:line="360" w:lineRule="auto"/>
        <w:rPr>
          <w:rFonts w:hint="eastAsia" w:hAnsi="宋体"/>
          <w:position w:val="0"/>
          <w:sz w:val="30"/>
        </w:rPr>
        <w:outlineLvl w:val="2"/>
      </w:pPr>
      <w:r>
        <w:rPr>
          <w:rFonts w:hint="eastAsia" w:hAnsi="宋体"/>
          <w:position w:val="0"/>
          <w:sz w:val="30"/>
        </w:rPr>
        <w:t xml:space="preserve">1.采购代理机构职责</w:t>
      </w:r>
      <w:r/>
    </w:p>
    <w:p>
      <w:pPr>
        <w:ind w:firstLine="480"/>
        <w:spacing w:line="360" w:lineRule="auto"/>
        <w:rPr>
          <w:rFonts w:hint="eastAsia" w:hAnsi="宋体"/>
          <w:b w:val="0"/>
          <w:position w:val="0"/>
          <w:szCs w:val="24"/>
        </w:rPr>
      </w:pPr>
      <w:r>
        <w:rPr>
          <w:rFonts w:hint="eastAsia" w:hAnsi="宋体"/>
          <w:b w:val="0"/>
          <w:position w:val="0"/>
          <w:szCs w:val="24"/>
        </w:rPr>
        <w:t xml:space="preserve">1.1 采购代理机构负责组织评标工作，并履行下列职责：</w:t>
      </w:r>
      <w:r/>
    </w:p>
    <w:p>
      <w:pPr>
        <w:ind w:firstLine="360"/>
        <w:spacing w:line="360" w:lineRule="auto"/>
        <w:rPr>
          <w:rFonts w:hint="eastAsia" w:hAnsi="宋体"/>
          <w:b w:val="0"/>
          <w:position w:val="0"/>
          <w:szCs w:val="24"/>
        </w:rPr>
      </w:pPr>
      <w:r>
        <w:rPr>
          <w:rFonts w:hint="eastAsia" w:hAnsi="宋体"/>
          <w:b w:val="0"/>
          <w:position w:val="0"/>
          <w:szCs w:val="24"/>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hint="eastAsia" w:hAnsi="宋体"/>
          <w:b w:val="0"/>
          <w:position w:val="0"/>
          <w:szCs w:val="24"/>
        </w:rPr>
      </w:pPr>
      <w:r>
        <w:rPr>
          <w:rFonts w:hint="eastAsia" w:hAnsi="宋体"/>
          <w:b w:val="0"/>
          <w:position w:val="0"/>
          <w:szCs w:val="24"/>
        </w:rPr>
        <w:t xml:space="preserve">（2）宣布评标纪律；</w:t>
      </w:r>
      <w:r/>
    </w:p>
    <w:p>
      <w:pPr>
        <w:ind w:firstLine="360"/>
        <w:spacing w:line="360" w:lineRule="auto"/>
        <w:rPr>
          <w:rFonts w:hint="eastAsia" w:hAnsi="宋体"/>
          <w:b w:val="0"/>
          <w:position w:val="0"/>
          <w:szCs w:val="24"/>
        </w:rPr>
      </w:pPr>
      <w:r>
        <w:rPr>
          <w:rFonts w:hint="eastAsia" w:hAnsi="宋体"/>
          <w:b w:val="0"/>
          <w:position w:val="0"/>
          <w:szCs w:val="24"/>
        </w:rPr>
        <w:t xml:space="preserve">（3）公布投标人名单，告知评审专家应当回避的情形；</w:t>
      </w:r>
      <w:r/>
    </w:p>
    <w:p>
      <w:pPr>
        <w:ind w:firstLine="360"/>
        <w:spacing w:line="360" w:lineRule="auto"/>
        <w:rPr>
          <w:rFonts w:hint="eastAsia" w:hAnsi="宋体"/>
          <w:b w:val="0"/>
          <w:position w:val="0"/>
          <w:szCs w:val="24"/>
        </w:rPr>
      </w:pPr>
      <w:r>
        <w:rPr>
          <w:rFonts w:hint="eastAsia" w:hAnsi="宋体"/>
          <w:b w:val="0"/>
          <w:position w:val="0"/>
          <w:szCs w:val="24"/>
        </w:rPr>
        <w:t xml:space="preserve">（4）组织评标委员会推选评标组长，采购人代表不得担任组长；</w:t>
      </w:r>
      <w:r/>
    </w:p>
    <w:p>
      <w:pPr>
        <w:ind w:firstLine="360"/>
        <w:spacing w:line="360" w:lineRule="auto"/>
        <w:rPr>
          <w:rFonts w:hint="eastAsia" w:hAnsi="宋体"/>
          <w:b w:val="0"/>
          <w:position w:val="0"/>
          <w:szCs w:val="24"/>
        </w:rPr>
      </w:pPr>
      <w:r>
        <w:rPr>
          <w:rFonts w:hint="eastAsia" w:hAnsi="宋体"/>
          <w:b w:val="0"/>
          <w:position w:val="0"/>
          <w:szCs w:val="24"/>
        </w:rPr>
        <w:t xml:space="preserve">（5）在评标期间采取必要的通讯管理措施，保证评标活动不受外界干扰；</w:t>
      </w:r>
      <w:r/>
    </w:p>
    <w:p>
      <w:pPr>
        <w:ind w:firstLine="360"/>
        <w:spacing w:line="360" w:lineRule="auto"/>
        <w:rPr>
          <w:rFonts w:hint="eastAsia" w:hAnsi="宋体"/>
          <w:b w:val="0"/>
          <w:position w:val="0"/>
          <w:szCs w:val="24"/>
        </w:rPr>
      </w:pPr>
      <w:r>
        <w:rPr>
          <w:rFonts w:hint="eastAsia" w:hAnsi="宋体"/>
          <w:b w:val="0"/>
          <w:position w:val="0"/>
          <w:szCs w:val="24"/>
        </w:rPr>
        <w:t xml:space="preserve">（6）根据评标委员会的要求介绍政府采购相关政策法规、招标文件；</w:t>
      </w:r>
      <w:r/>
    </w:p>
    <w:p>
      <w:pPr>
        <w:ind w:firstLine="360"/>
        <w:spacing w:line="360" w:lineRule="auto"/>
        <w:rPr>
          <w:rFonts w:hint="eastAsia" w:hAnsi="宋体"/>
          <w:b w:val="0"/>
          <w:position w:val="0"/>
          <w:szCs w:val="24"/>
        </w:rPr>
      </w:pPr>
      <w:r>
        <w:rPr>
          <w:rFonts w:hint="eastAsia" w:hAnsi="宋体"/>
          <w:b w:val="0"/>
          <w:position w:val="0"/>
          <w:szCs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hint="eastAsia" w:hAnsi="宋体"/>
          <w:b w:val="0"/>
          <w:position w:val="0"/>
          <w:szCs w:val="24"/>
        </w:rPr>
      </w:pPr>
      <w:r>
        <w:rPr>
          <w:rFonts w:hint="eastAsia" w:hAnsi="宋体"/>
          <w:b w:val="0"/>
          <w:position w:val="0"/>
          <w:szCs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hint="eastAsia" w:hAnsi="宋体"/>
          <w:b w:val="0"/>
          <w:position w:val="0"/>
          <w:szCs w:val="24"/>
        </w:rPr>
      </w:pPr>
      <w:r>
        <w:rPr>
          <w:rFonts w:hint="eastAsia" w:hAnsi="宋体"/>
          <w:b w:val="0"/>
          <w:position w:val="0"/>
          <w:szCs w:val="24"/>
        </w:rPr>
        <w:t xml:space="preserve">（9）评审工作完成后，按照规定向评审专家支付劳务报酬和异地评审差旅费，不得向评审专家以外的其他人员支付评审劳务报酬；</w:t>
      </w:r>
      <w:r/>
    </w:p>
    <w:p>
      <w:pPr>
        <w:ind w:firstLine="360"/>
        <w:spacing w:line="360" w:lineRule="auto"/>
        <w:rPr>
          <w:rFonts w:hint="eastAsia" w:hAnsi="宋体"/>
          <w:b w:val="0"/>
          <w:position w:val="0"/>
          <w:szCs w:val="24"/>
        </w:rPr>
      </w:pPr>
      <w:r>
        <w:rPr>
          <w:rFonts w:hint="eastAsia" w:hAnsi="宋体"/>
          <w:b w:val="0"/>
          <w:position w:val="0"/>
          <w:szCs w:val="24"/>
        </w:rPr>
        <w:t xml:space="preserve">（10）处理与评标有关的其他事项。</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2.评标委员会职责</w:t>
      </w:r>
      <w:r/>
    </w:p>
    <w:p>
      <w:pPr>
        <w:ind w:firstLine="480"/>
        <w:spacing w:line="360" w:lineRule="auto"/>
        <w:rPr>
          <w:rFonts w:hint="eastAsia" w:hAnsi="宋体"/>
          <w:position w:val="0"/>
          <w:szCs w:val="24"/>
        </w:rPr>
        <w:outlineLvl w:val="2"/>
      </w:pPr>
      <w:r>
        <w:rPr>
          <w:rFonts w:hint="eastAsia" w:hAnsi="宋体"/>
          <w:b w:val="0"/>
          <w:position w:val="0"/>
          <w:szCs w:val="24"/>
        </w:rPr>
        <w:t xml:space="preserve">2.1 评标委员会负责具体评标事务，并独立履行下列职责： </w:t>
      </w:r>
      <w:r>
        <w:rPr>
          <w:rFonts w:hint="eastAsia" w:hAnsi="宋体"/>
          <w:position w:val="0"/>
          <w:szCs w:val="24"/>
        </w:rPr>
        <w:t xml:space="preserve"> </w:t>
      </w:r>
      <w:r/>
    </w:p>
    <w:p>
      <w:pPr>
        <w:ind w:firstLine="420"/>
        <w:spacing w:line="360" w:lineRule="auto"/>
        <w:rPr>
          <w:rFonts w:hint="eastAsia" w:hAnsi="宋体"/>
          <w:b w:val="0"/>
          <w:position w:val="0"/>
          <w:szCs w:val="24"/>
        </w:rPr>
      </w:pPr>
      <w:r>
        <w:rPr>
          <w:rFonts w:hint="eastAsia" w:hAnsi="宋体"/>
          <w:b w:val="0"/>
          <w:position w:val="0"/>
          <w:szCs w:val="24"/>
        </w:rPr>
        <w:t xml:space="preserve">（1）审查、评价投标文件是否符合招标文件的商务、技术等实质性要求；  </w:t>
      </w:r>
      <w:r/>
    </w:p>
    <w:p>
      <w:pPr>
        <w:ind w:firstLine="420"/>
        <w:spacing w:line="360" w:lineRule="auto"/>
        <w:rPr>
          <w:rFonts w:hint="eastAsia" w:hAnsi="宋体"/>
          <w:b w:val="0"/>
          <w:position w:val="0"/>
          <w:szCs w:val="24"/>
        </w:rPr>
      </w:pPr>
      <w:r>
        <w:rPr>
          <w:rFonts w:hint="eastAsia" w:hAnsi="宋体"/>
          <w:b w:val="0"/>
          <w:position w:val="0"/>
          <w:szCs w:val="24"/>
        </w:rPr>
        <w:t xml:space="preserve">（2）要求投标人对投标文件有关事项作出澄清或者说明；  </w:t>
      </w:r>
      <w:r/>
    </w:p>
    <w:p>
      <w:pPr>
        <w:ind w:firstLine="420"/>
        <w:spacing w:line="360" w:lineRule="auto"/>
        <w:rPr>
          <w:rFonts w:hint="eastAsia" w:hAnsi="宋体"/>
          <w:b w:val="0"/>
          <w:position w:val="0"/>
          <w:szCs w:val="24"/>
        </w:rPr>
      </w:pPr>
      <w:r>
        <w:rPr>
          <w:rFonts w:hint="eastAsia" w:hAnsi="宋体"/>
          <w:b w:val="0"/>
          <w:position w:val="0"/>
          <w:szCs w:val="24"/>
        </w:rPr>
        <w:t xml:space="preserve">（3）对投标文件进行比较和评价；  </w:t>
      </w:r>
      <w:r/>
    </w:p>
    <w:p>
      <w:pPr>
        <w:ind w:firstLine="420"/>
        <w:spacing w:line="360" w:lineRule="auto"/>
        <w:rPr>
          <w:rFonts w:hint="eastAsia" w:hAnsi="宋体"/>
          <w:b w:val="0"/>
          <w:position w:val="0"/>
          <w:szCs w:val="24"/>
        </w:rPr>
      </w:pPr>
      <w:r>
        <w:rPr>
          <w:rFonts w:hint="eastAsia" w:hAnsi="宋体"/>
          <w:b w:val="0"/>
          <w:position w:val="0"/>
          <w:szCs w:val="24"/>
        </w:rPr>
        <w:t xml:space="preserve">（4）确定中标候选人名单，以及根据采购人委托直接确定中标人；  </w:t>
      </w:r>
      <w:r/>
    </w:p>
    <w:p>
      <w:pPr>
        <w:ind w:firstLine="420"/>
        <w:spacing w:line="360" w:lineRule="auto"/>
        <w:rPr>
          <w:rFonts w:hint="eastAsia" w:hAnsi="宋体"/>
          <w:b w:val="0"/>
          <w:position w:val="0"/>
          <w:szCs w:val="24"/>
        </w:rPr>
      </w:pPr>
      <w:r>
        <w:rPr>
          <w:rFonts w:hint="eastAsia" w:hAnsi="宋体"/>
          <w:b w:val="0"/>
          <w:position w:val="0"/>
          <w:szCs w:val="24"/>
        </w:rPr>
        <w:t xml:space="preserve">（5）向采购人、采购代理机构或者有关部门报告评标中发现的违法行为。</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3.评标注意事项</w:t>
      </w:r>
      <w:r/>
    </w:p>
    <w:p>
      <w:pPr>
        <w:ind w:firstLine="480"/>
        <w:spacing w:line="360" w:lineRule="auto"/>
        <w:rPr>
          <w:rFonts w:hint="eastAsia" w:hAnsi="宋体"/>
          <w:b w:val="0"/>
          <w:position w:val="0"/>
          <w:szCs w:val="24"/>
        </w:rPr>
      </w:pPr>
      <w:r>
        <w:rPr>
          <w:rFonts w:hint="eastAsia" w:hAnsi="宋体"/>
          <w:b w:val="0"/>
          <w:position w:val="0"/>
          <w:szCs w:val="24"/>
        </w:rPr>
        <w:t xml:space="preserve">3.1评标时，评标委员会各成员应当独立对每个投标人的投标文件进行评价，并汇总每个投标人的得分。</w:t>
      </w:r>
      <w:r/>
    </w:p>
    <w:p>
      <w:pPr>
        <w:ind w:left="1" w:firstLine="480"/>
        <w:spacing w:line="360" w:lineRule="auto"/>
        <w:rPr>
          <w:rFonts w:hint="eastAsia" w:hAnsi="宋体"/>
          <w:position w:val="0"/>
          <w:szCs w:val="24"/>
          <w:u w:val="single"/>
        </w:rPr>
      </w:pPr>
      <w:r>
        <w:rPr>
          <w:rFonts w:hint="eastAsia" w:hAnsi="宋体"/>
          <w:b w:val="0"/>
          <w:position w:val="0"/>
          <w:szCs w:val="24"/>
        </w:rPr>
        <w:t xml:space="preserve">3.2</w:t>
      </w:r>
      <w:r>
        <w:rPr>
          <w:rFonts w:hint="eastAsia" w:hAnsi="宋体"/>
          <w:position w:val="0"/>
          <w:szCs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hAnsi="宋体"/>
          <w:b w:val="0"/>
          <w:position w:val="0"/>
          <w:szCs w:val="24"/>
        </w:rPr>
      </w:pPr>
      <w:r>
        <w:rPr>
          <w:rFonts w:hint="eastAsia" w:hAnsi="宋体"/>
          <w:b w:val="0"/>
          <w:position w:val="0"/>
          <w:szCs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hAnsi="宋体"/>
          <w:b w:val="0"/>
          <w:position w:val="0"/>
          <w:szCs w:val="24"/>
        </w:rPr>
      </w:pPr>
      <w:r>
        <w:rPr>
          <w:rFonts w:hint="eastAsia" w:hAnsi="宋体"/>
          <w:b w:val="0"/>
          <w:position w:val="0"/>
          <w:szCs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hAnsi="宋体"/>
          <w:b w:val="0"/>
          <w:position w:val="0"/>
          <w:szCs w:val="24"/>
        </w:rPr>
      </w:pPr>
      <w:r>
        <w:rPr>
          <w:rFonts w:hint="eastAsia" w:hAnsi="宋体"/>
          <w:b w:val="0"/>
          <w:position w:val="0"/>
          <w:szCs w:val="24"/>
        </w:rPr>
        <w:t xml:space="preserve">3.5评标委员会及其成员不得有下列行为：</w:t>
      </w:r>
      <w:r/>
    </w:p>
    <w:p>
      <w:pPr>
        <w:ind w:left="1" w:firstLine="480"/>
        <w:spacing w:line="360" w:lineRule="auto"/>
        <w:rPr>
          <w:rFonts w:hint="eastAsia" w:hAnsi="宋体"/>
          <w:b w:val="0"/>
          <w:position w:val="0"/>
          <w:szCs w:val="24"/>
        </w:rPr>
      </w:pPr>
      <w:r>
        <w:rPr>
          <w:rFonts w:hint="eastAsia" w:hAnsi="宋体"/>
          <w:b w:val="0"/>
          <w:position w:val="0"/>
          <w:szCs w:val="24"/>
        </w:rPr>
        <w:t xml:space="preserve">（1）确定参与评标至评标结束前私自接触投标人；</w:t>
      </w:r>
      <w:r/>
    </w:p>
    <w:p>
      <w:pPr>
        <w:ind w:left="1" w:firstLine="480"/>
        <w:spacing w:line="360" w:lineRule="auto"/>
        <w:rPr>
          <w:rFonts w:hint="eastAsia" w:hAnsi="宋体"/>
          <w:b w:val="0"/>
          <w:position w:val="0"/>
          <w:szCs w:val="24"/>
        </w:rPr>
      </w:pPr>
      <w:r>
        <w:rPr>
          <w:rFonts w:hint="eastAsia" w:hAnsi="宋体"/>
          <w:b w:val="0"/>
          <w:position w:val="0"/>
          <w:szCs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hAnsi="宋体"/>
          <w:b w:val="0"/>
          <w:position w:val="0"/>
          <w:szCs w:val="24"/>
        </w:rPr>
      </w:pPr>
      <w:r>
        <w:rPr>
          <w:rFonts w:hint="eastAsia" w:hAnsi="宋体"/>
          <w:b w:val="0"/>
          <w:position w:val="0"/>
          <w:szCs w:val="24"/>
        </w:rPr>
        <w:t xml:space="preserve">（3）违反评标纪律发表倾向性意见或者征询采购人的倾向性意见；</w:t>
      </w:r>
      <w:r/>
    </w:p>
    <w:p>
      <w:pPr>
        <w:ind w:left="1" w:firstLine="480"/>
        <w:spacing w:line="360" w:lineRule="auto"/>
        <w:rPr>
          <w:rFonts w:hint="eastAsia" w:hAnsi="宋体"/>
          <w:b w:val="0"/>
          <w:position w:val="0"/>
          <w:szCs w:val="24"/>
        </w:rPr>
      </w:pPr>
      <w:r>
        <w:rPr>
          <w:rFonts w:hint="eastAsia" w:hAnsi="宋体"/>
          <w:b w:val="0"/>
          <w:position w:val="0"/>
          <w:szCs w:val="24"/>
        </w:rPr>
        <w:t xml:space="preserve">（4）对需要专业判断的主观评审因素协商评分；</w:t>
      </w:r>
      <w:r/>
    </w:p>
    <w:p>
      <w:pPr>
        <w:ind w:left="1" w:firstLine="480"/>
        <w:spacing w:line="360" w:lineRule="auto"/>
        <w:rPr>
          <w:rFonts w:hint="eastAsia" w:hAnsi="宋体"/>
          <w:b w:val="0"/>
          <w:position w:val="0"/>
          <w:szCs w:val="24"/>
        </w:rPr>
      </w:pPr>
      <w:r>
        <w:rPr>
          <w:rFonts w:hint="eastAsia" w:hAnsi="宋体"/>
          <w:b w:val="0"/>
          <w:position w:val="0"/>
          <w:szCs w:val="24"/>
        </w:rPr>
        <w:t xml:space="preserve">（5）在评标过程中擅离职守，影响评标程序正常进行；</w:t>
      </w:r>
      <w:r/>
    </w:p>
    <w:p>
      <w:pPr>
        <w:ind w:left="1" w:firstLine="480"/>
        <w:spacing w:line="360" w:lineRule="auto"/>
        <w:rPr>
          <w:rFonts w:hint="eastAsia" w:hAnsi="宋体"/>
          <w:b w:val="0"/>
          <w:position w:val="0"/>
          <w:szCs w:val="24"/>
        </w:rPr>
      </w:pPr>
      <w:r>
        <w:rPr>
          <w:rFonts w:hint="eastAsia" w:hAnsi="宋体"/>
          <w:b w:val="0"/>
          <w:position w:val="0"/>
          <w:szCs w:val="24"/>
        </w:rPr>
        <w:t xml:space="preserve">（6）记录、复制或者带走任何评标资料；</w:t>
      </w:r>
      <w:r/>
    </w:p>
    <w:p>
      <w:pPr>
        <w:ind w:left="1" w:firstLine="480"/>
        <w:spacing w:line="360" w:lineRule="auto"/>
        <w:rPr>
          <w:rFonts w:hint="eastAsia" w:hAnsi="宋体"/>
          <w:b w:val="0"/>
          <w:position w:val="0"/>
          <w:szCs w:val="24"/>
        </w:rPr>
      </w:pPr>
      <w:r>
        <w:rPr>
          <w:rFonts w:hint="eastAsia" w:hAnsi="宋体"/>
          <w:b w:val="0"/>
          <w:position w:val="0"/>
          <w:szCs w:val="24"/>
        </w:rPr>
        <w:t xml:space="preserve">（7）其他不遵守评标纪律的行为。</w:t>
      </w:r>
      <w:r/>
    </w:p>
    <w:p>
      <w:pPr>
        <w:ind w:left="1" w:firstLine="480"/>
        <w:spacing w:line="360" w:lineRule="auto"/>
        <w:rPr>
          <w:rFonts w:hint="eastAsia" w:hAnsi="宋体"/>
          <w:b w:val="0"/>
          <w:position w:val="0"/>
          <w:szCs w:val="24"/>
        </w:rPr>
      </w:pPr>
      <w:r>
        <w:rPr>
          <w:rFonts w:hint="eastAsia" w:hAnsi="宋体"/>
          <w:b w:val="0"/>
          <w:position w:val="0"/>
          <w:szCs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hAnsi="宋体"/>
          <w:b w:val="0"/>
          <w:position w:val="0"/>
          <w:szCs w:val="24"/>
        </w:rPr>
      </w:pPr>
      <w:r>
        <w:rPr>
          <w:rFonts w:hint="eastAsia" w:hAnsi="宋体"/>
          <w:b w:val="0"/>
          <w:position w:val="0"/>
          <w:szCs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hint="eastAsia" w:hAnsi="宋体"/>
          <w:b w:val="0"/>
          <w:position w:val="0"/>
          <w:szCs w:val="24"/>
        </w:rPr>
      </w:pPr>
      <w:r>
        <w:rPr>
          <w:rFonts w:hint="eastAsia" w:hAnsi="宋体"/>
          <w:b w:val="0"/>
          <w:position w:val="0"/>
          <w:szCs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4.评标过程的保密</w:t>
      </w:r>
      <w:r/>
    </w:p>
    <w:p>
      <w:pPr>
        <w:ind w:left="1" w:firstLine="480"/>
        <w:spacing w:line="360" w:lineRule="auto"/>
        <w:rPr>
          <w:rFonts w:hint="eastAsia" w:hAnsi="宋体"/>
          <w:b w:val="0"/>
          <w:position w:val="0"/>
          <w:szCs w:val="24"/>
        </w:rPr>
      </w:pPr>
      <w:r>
        <w:rPr>
          <w:rFonts w:hint="eastAsia" w:hAnsi="宋体"/>
          <w:b w:val="0"/>
          <w:position w:val="0"/>
          <w:szCs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hAnsi="宋体"/>
          <w:b w:val="0"/>
          <w:position w:val="0"/>
          <w:szCs w:val="24"/>
        </w:rPr>
      </w:pPr>
      <w:r>
        <w:rPr>
          <w:rFonts w:hint="eastAsia" w:hAnsi="宋体"/>
          <w:b w:val="0"/>
          <w:position w:val="0"/>
          <w:szCs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hAnsi="宋体"/>
          <w:b w:val="0"/>
          <w:position w:val="0"/>
          <w:szCs w:val="24"/>
          <w:u w:val="single"/>
        </w:rPr>
      </w:pPr>
      <w:r>
        <w:rPr>
          <w:rFonts w:hint="eastAsia" w:hAnsi="宋体"/>
          <w:b w:val="0"/>
          <w:position w:val="0"/>
          <w:szCs w:val="24"/>
        </w:rPr>
        <w:t xml:space="preserve">4.3</w:t>
      </w:r>
      <w:r>
        <w:rPr>
          <w:rFonts w:hint="eastAsia" w:hAnsi="宋体"/>
          <w:position w:val="0"/>
          <w:szCs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5.报价前后不一致的处理原则</w:t>
      </w:r>
      <w:r/>
    </w:p>
    <w:p>
      <w:pPr>
        <w:ind w:firstLine="480"/>
        <w:spacing w:line="360" w:lineRule="auto"/>
        <w:rPr>
          <w:rFonts w:hint="eastAsia" w:hAnsi="宋体"/>
          <w:b w:val="0"/>
          <w:position w:val="0"/>
          <w:szCs w:val="24"/>
        </w:rPr>
      </w:pPr>
      <w:r>
        <w:rPr>
          <w:rFonts w:hint="eastAsia" w:hAnsi="宋体"/>
          <w:b w:val="0"/>
          <w:position w:val="0"/>
          <w:szCs w:val="24"/>
        </w:rPr>
        <w:t xml:space="preserve">5.1投标文件报价出现前后不一致的，按照下列规定修正：</w:t>
      </w:r>
      <w:r/>
    </w:p>
    <w:p>
      <w:pPr>
        <w:ind w:left="1" w:firstLine="480"/>
        <w:spacing w:line="360" w:lineRule="auto"/>
        <w:rPr>
          <w:rFonts w:hint="eastAsia" w:hAnsi="宋体"/>
          <w:b w:val="0"/>
          <w:position w:val="0"/>
          <w:szCs w:val="24"/>
        </w:rPr>
      </w:pPr>
      <w:r>
        <w:rPr>
          <w:rFonts w:hint="eastAsia" w:hAnsi="宋体"/>
          <w:b w:val="0"/>
          <w:position w:val="0"/>
          <w:szCs w:val="24"/>
        </w:rPr>
        <w:t xml:space="preserve">（1）投标文件中开标一览表内容与投标文件中相应内容不一致的，以开标一览表为准；</w:t>
      </w:r>
      <w:r/>
    </w:p>
    <w:p>
      <w:pPr>
        <w:ind w:left="1" w:firstLine="480"/>
        <w:spacing w:line="360" w:lineRule="auto"/>
        <w:rPr>
          <w:rFonts w:hint="eastAsia" w:hAnsi="宋体"/>
          <w:b w:val="0"/>
          <w:position w:val="0"/>
          <w:szCs w:val="24"/>
        </w:rPr>
      </w:pPr>
      <w:r>
        <w:rPr>
          <w:rFonts w:hint="eastAsia" w:hAnsi="宋体"/>
          <w:b w:val="0"/>
          <w:position w:val="0"/>
          <w:szCs w:val="24"/>
        </w:rPr>
        <w:t xml:space="preserve">（2）大写金额和小写金额不一致的，以大写金额为准；</w:t>
      </w:r>
      <w:r/>
    </w:p>
    <w:p>
      <w:pPr>
        <w:ind w:left="1" w:firstLine="480"/>
        <w:spacing w:line="360" w:lineRule="auto"/>
        <w:rPr>
          <w:rFonts w:hint="eastAsia" w:hAnsi="宋体"/>
          <w:b w:val="0"/>
          <w:position w:val="0"/>
          <w:szCs w:val="24"/>
        </w:rPr>
      </w:pPr>
      <w:r>
        <w:rPr>
          <w:rFonts w:hint="eastAsia" w:hAnsi="宋体"/>
          <w:b w:val="0"/>
          <w:position w:val="0"/>
          <w:szCs w:val="24"/>
        </w:rPr>
        <w:t xml:space="preserve">（3）单价金额小数点或者百分比有明显错位的，以开标一览表的总价为准，并修改单价；</w:t>
      </w:r>
      <w:r/>
    </w:p>
    <w:p>
      <w:pPr>
        <w:ind w:left="1" w:firstLine="480"/>
        <w:spacing w:line="360" w:lineRule="auto"/>
        <w:rPr>
          <w:rFonts w:hint="eastAsia" w:hAnsi="宋体"/>
          <w:b w:val="0"/>
          <w:position w:val="0"/>
          <w:szCs w:val="24"/>
        </w:rPr>
      </w:pPr>
      <w:r>
        <w:rPr>
          <w:rFonts w:hint="eastAsia" w:hAnsi="宋体"/>
          <w:b w:val="0"/>
          <w:position w:val="0"/>
          <w:szCs w:val="24"/>
        </w:rPr>
        <w:t xml:space="preserve">（4）总价金额与按单价汇总金额不一致的，以单价金额计算结果为准。</w:t>
      </w:r>
      <w:r/>
    </w:p>
    <w:p>
      <w:pPr>
        <w:ind w:left="1" w:firstLine="482"/>
        <w:spacing w:line="360" w:lineRule="auto"/>
        <w:rPr>
          <w:rFonts w:hint="eastAsia" w:hAnsi="宋体"/>
          <w:b w:val="0"/>
          <w:position w:val="0"/>
          <w:szCs w:val="24"/>
        </w:rPr>
      </w:pPr>
      <w:r>
        <w:rPr>
          <w:rFonts w:hint="eastAsia" w:hAnsi="宋体"/>
          <w:position w:val="0"/>
          <w:szCs w:val="24"/>
        </w:rPr>
        <w:t xml:space="preserve">同时出现两种以上不一致的，按上述规定排序在先的原则进行修正</w:t>
      </w:r>
      <w:r>
        <w:rPr>
          <w:rFonts w:hint="eastAsia" w:hAnsi="宋体"/>
          <w:b w:val="0"/>
          <w:position w:val="0"/>
          <w:szCs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6.投标人资格审查（审查内容应对应资格要求）</w:t>
      </w:r>
      <w:r/>
    </w:p>
    <w:p>
      <w:pPr>
        <w:ind w:firstLine="480"/>
        <w:jc w:val="left"/>
        <w:spacing w:line="360" w:lineRule="auto"/>
        <w:widowControl/>
        <w:rPr>
          <w:rFonts w:hint="eastAsia" w:hAnsi="宋体"/>
          <w:b w:val="0"/>
          <w:position w:val="0"/>
          <w:szCs w:val="24"/>
        </w:rPr>
      </w:pPr>
      <w:r>
        <w:rPr>
          <w:rFonts w:ascii="Wingdings 2" w:hAnsi="Wingdings 2" w:eastAsia="Wingdings 2" w:cs="Wingdings 2"/>
          <w:b w:val="0"/>
          <w:position w:val="0"/>
          <w:szCs w:val="24"/>
        </w:rPr>
        <w:t xml:space="preserve">R</w:t>
      </w:r>
      <w:r>
        <w:rPr>
          <w:rFonts w:hint="eastAsia" w:hAnsi="宋体"/>
          <w:b w:val="0"/>
          <w:position w:val="0"/>
          <w:szCs w:val="24"/>
        </w:rPr>
        <w:t xml:space="preserve">6.1 采用资格后审方式</w:t>
      </w:r>
      <w:r/>
    </w:p>
    <w:p>
      <w:pPr>
        <w:ind w:firstLine="480"/>
        <w:jc w:val="left"/>
        <w:spacing w:line="360" w:lineRule="auto"/>
        <w:widowControl/>
        <w:rPr>
          <w:rFonts w:hint="eastAsia" w:hAnsi="宋体"/>
          <w:position w:val="0"/>
          <w:szCs w:val="24"/>
        </w:rPr>
      </w:pPr>
      <w:r>
        <w:rPr>
          <w:rFonts w:hint="eastAsia" w:hAnsi="宋体"/>
          <w:b w:val="0"/>
          <w:position w:val="0"/>
          <w:szCs w:val="24"/>
        </w:rPr>
        <w:t xml:space="preserve">开标结束后，采购人或代理机构将依法对投标人的资格进行审查。资格审查的内容如下：</w:t>
      </w:r>
      <w:r/>
    </w:p>
    <w:tbl>
      <w:tblPr>
        <w:tblW w:w="56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1"/>
        <w:gridCol w:w="3391"/>
        <w:gridCol w:w="5229"/>
      </w:tblGrid>
      <w:tr>
        <w:trPr>
          <w:jc w:val="center"/>
        </w:trPr>
        <w:tc>
          <w:tcPr>
            <w:tcW w:w="391"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序号</w:t>
            </w:r>
            <w:r/>
          </w:p>
        </w:tc>
        <w:tc>
          <w:tcPr>
            <w:tcW w:w="1813" w:type="pct"/>
            <w:vAlign w:val="center"/>
            <w:textDirection w:val="lrTb"/>
            <w:noWrap w:val="false"/>
          </w:tcPr>
          <w:p>
            <w:pPr>
              <w:spacing w:line="360" w:lineRule="auto"/>
              <w:rPr>
                <w:rFonts w:hint="eastAsia" w:hAnsi="宋体"/>
                <w:position w:val="0"/>
                <w:szCs w:val="24"/>
              </w:rPr>
            </w:pPr>
            <w:r>
              <w:rPr>
                <w:rFonts w:hint="eastAsia" w:hAnsi="宋体"/>
                <w:position w:val="0"/>
                <w:szCs w:val="24"/>
              </w:rPr>
              <w:t xml:space="preserve">审查要素</w:t>
            </w:r>
            <w:r/>
          </w:p>
        </w:tc>
        <w:tc>
          <w:tcPr>
            <w:tcW w:w="2795"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审查内容</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具有独立承担民事责任的能力</w:t>
            </w:r>
            <w:r/>
          </w:p>
        </w:tc>
        <w:tc>
          <w:tcPr>
            <w:tcW w:w="2795" w:type="pct"/>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是否提供法人或者其他组织的营业执照等证明文件，自然人的身份证明</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具有良好的商业信誉和健全的财务会计制度</w:t>
            </w:r>
            <w:r/>
          </w:p>
        </w:tc>
        <w:tc>
          <w:tcPr>
            <w:tcW w:w="2795" w:type="pct"/>
            <w:vAlign w:val="center"/>
            <w:textDirection w:val="lrTb"/>
            <w:noWrap w:val="false"/>
          </w:tcPr>
          <w:p>
            <w:pPr>
              <w:spacing w:line="360" w:lineRule="auto"/>
              <w:rPr>
                <w:rFonts w:hint="eastAsia" w:hAnsi="宋体"/>
                <w:b w:val="0"/>
                <w:bCs/>
                <w:position w:val="0"/>
                <w:szCs w:val="24"/>
              </w:rPr>
            </w:pPr>
            <w:r>
              <w:rPr>
                <w:rFonts w:hint="eastAsia" w:hAnsi="宋体"/>
                <w:b w:val="0"/>
                <w:bCs/>
                <w:position w:val="0"/>
                <w:szCs w:val="24"/>
              </w:rPr>
              <w:t xml:space="preserve">是否提供上一年度（2024年）财务报告、成立不满一年的提供至少一个月财务报告，或银行出具的资信证明，或财政部门认可的政府采购专业担保机构出具的投标担保函等</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有依法缴纳税收和社会保障资金的良好记录</w:t>
            </w:r>
            <w:r/>
          </w:p>
        </w:tc>
        <w:tc>
          <w:tcPr>
            <w:tcW w:w="2795" w:type="pct"/>
            <w:vAlign w:val="center"/>
            <w:textDirection w:val="lrTb"/>
            <w:noWrap w:val="false"/>
          </w:tcPr>
          <w:p>
            <w:pPr>
              <w:spacing w:line="360" w:lineRule="auto"/>
              <w:rPr>
                <w:rFonts w:hint="eastAsia" w:hAnsi="宋体"/>
                <w:b w:val="0"/>
                <w:bCs/>
                <w:position w:val="0"/>
                <w:szCs w:val="24"/>
              </w:rPr>
            </w:pPr>
            <w:r>
              <w:rPr>
                <w:rFonts w:hint="eastAsia" w:hAnsi="宋体"/>
                <w:b w:val="0"/>
                <w:position w:val="0"/>
                <w:szCs w:val="28"/>
              </w:rPr>
              <w:t xml:space="preserve">是否提供参加本次政府采购活动前6个月内</w:t>
            </w:r>
            <w:r>
              <w:rPr>
                <w:rFonts w:hint="eastAsia" w:hAnsi="宋体"/>
                <w:bCs/>
                <w:position w:val="0"/>
                <w:szCs w:val="28"/>
              </w:rPr>
              <w:t xml:space="preserve">（即2025年6月-2025年11月期间）</w:t>
            </w:r>
            <w:r>
              <w:rPr>
                <w:rFonts w:hint="eastAsia" w:hAnsi="宋体"/>
                <w:b w:val="0"/>
                <w:position w:val="0"/>
                <w:szCs w:val="28"/>
              </w:rPr>
              <w:t xml:space="preserve">任意一个月缴纳税收及缴纳社会保障资金的证明材料。投标人依法享受缓缴、免缴税收、社会保障资金的提供证明材料</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具有履行合同所必需的设备和专业技术能力</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是否提供书面声明</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5</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参加政府采购活动前三年内，在经营活动中没有重大违法记录</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是否提供书面声明</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对于上述1.2-1.5条，投标人如提供资格承诺函(见格式)，则无需再提供与其相关的证明材料</w:t>
            </w:r>
            <w:r/>
          </w:p>
        </w:tc>
        <w:tc>
          <w:tcPr>
            <w:tcW w:w="2795"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是否提供资格承诺函</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7</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无被列入失信被执行人、重大税收违法案件当事人名单、政府采购严重失信行为记录名单及其他不符合《中华人民共和国政府采购法》第二十二条规定条件的信用记录。</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现场查询</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w:t>
            </w:r>
            <w:r/>
          </w:p>
        </w:tc>
        <w:tc>
          <w:tcPr>
            <w:tcW w:w="1813"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本项目落实政府采购政策需满足的资格要求</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中小企业声明函</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9</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本项目的特定资格要求</w:t>
            </w:r>
            <w:r/>
          </w:p>
        </w:tc>
        <w:tc>
          <w:tcPr>
            <w:tcW w:w="2795"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1、投标人为所投产品生产企业的须具有有效的中华人民共和国药品生产许可证、安全生产许可证、药品注册批件（或药品再注册批件）、气瓶充装许可证、移动式压力容器充装许可证（提供证明材料加盖公章）。</w:t>
            </w:r>
            <w:r/>
          </w:p>
          <w:p>
            <w:pPr>
              <w:spacing w:line="360" w:lineRule="auto"/>
              <w:rPr>
                <w:rFonts w:hint="eastAsia" w:hAnsi="宋体"/>
                <w:b w:val="0"/>
                <w:position w:val="0"/>
                <w:szCs w:val="28"/>
              </w:rPr>
            </w:pPr>
            <w:r>
              <w:rPr>
                <w:rFonts w:hint="eastAsia" w:hAnsi="宋体"/>
                <w:b w:val="0"/>
                <w:position w:val="0"/>
                <w:szCs w:val="28"/>
              </w:rPr>
              <w:t xml:space="preserve">2、投标人为所投产品经营企业的须具有有效的中华人民共和国药品经营许可证、危险化学品经营许可证，同时须提供与生产企业的合作协议及生产企业有效的中华人民共和国药品生产许可证、安全生产许可证、药品注册批件（或药品再注册批件）、气瓶充装许可证、移动式压力容器充装许可证（提供证明材料加盖公章）。</w:t>
            </w:r>
            <w:r/>
          </w:p>
          <w:p>
            <w:pPr>
              <w:spacing w:line="360" w:lineRule="auto"/>
              <w:rPr>
                <w:rFonts w:hint="eastAsia" w:hAnsi="宋体"/>
                <w:b w:val="0"/>
                <w:position w:val="0"/>
                <w:szCs w:val="28"/>
              </w:rPr>
            </w:pPr>
            <w:r>
              <w:rPr>
                <w:rFonts w:hint="eastAsia" w:hAnsi="宋体"/>
                <w:b w:val="0"/>
                <w:position w:val="0"/>
                <w:szCs w:val="28"/>
              </w:rPr>
              <w:t xml:space="preserve">3、投标人应具备危化品运输能力，提供危化品运输许可证证书（复印件加盖公章）；投标人为非承运单位的，应提供与承运单位签署的委托运输协议（复印件加盖公章），及承运单位的危化品运输许可证证书（复印件加盖公章）；同时，投标人应提供承诺函，承诺在气体运输和灌装过程中如发生意外事故均由投标人负责（承诺函格式自拟）</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w:t>
            </w:r>
            <w:r/>
          </w:p>
        </w:tc>
        <w:tc>
          <w:tcPr>
            <w:tcW w:w="1813"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不接受进口产品投标</w:t>
            </w:r>
            <w:r/>
          </w:p>
        </w:tc>
        <w:tc>
          <w:tcPr>
            <w:tcW w:w="2795"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确认投标品牌是否为进口品牌</w:t>
            </w:r>
            <w:r/>
          </w:p>
        </w:tc>
      </w:tr>
    </w:tbl>
    <w:p>
      <w:pPr>
        <w:jc w:val="left"/>
        <w:spacing w:line="360" w:lineRule="auto"/>
        <w:widowControl/>
        <w:rPr>
          <w:rFonts w:hint="eastAsia" w:hAnsi="宋体"/>
          <w:position w:val="0"/>
          <w:szCs w:val="24"/>
        </w:rPr>
      </w:pPr>
      <w:r>
        <w:rPr>
          <w:rFonts w:hint="eastAsia" w:ascii="楷体" w:hAnsi="楷体" w:eastAsia="楷体"/>
          <w:b w:val="0"/>
          <w:position w:val="0"/>
          <w:szCs w:val="24"/>
        </w:rPr>
        <w:t xml:space="preserve">□</w:t>
      </w:r>
      <w:r>
        <w:rPr>
          <w:rFonts w:hint="eastAsia" w:hAnsi="宋体"/>
          <w:b w:val="0"/>
          <w:position w:val="0"/>
          <w:szCs w:val="24"/>
        </w:rPr>
        <w:t xml:space="preserve">6.1 采用资格预审方式</w:t>
      </w:r>
      <w:r/>
    </w:p>
    <w:p>
      <w:pPr>
        <w:ind w:firstLine="480"/>
        <w:jc w:val="left"/>
        <w:spacing w:line="360" w:lineRule="auto"/>
        <w:widowControl/>
        <w:rPr>
          <w:rFonts w:hint="eastAsia" w:hAnsi="宋体"/>
          <w:position w:val="0"/>
          <w:szCs w:val="24"/>
        </w:rPr>
      </w:pPr>
      <w:r>
        <w:rPr>
          <w:rFonts w:hint="eastAsia" w:hAnsi="宋体"/>
          <w:b w:val="0"/>
          <w:position w:val="0"/>
          <w:szCs w:val="24"/>
        </w:rPr>
        <w:t xml:space="preserve">本项目已进行资格预审，评审阶段不再对投标人资格进行审查。资格预审合格的投标人在评审阶段资格发生变化的，须通知采购人和采购代理机构。</w:t>
      </w:r>
      <w:r/>
    </w:p>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7.投标人符合性审查</w:t>
      </w:r>
      <w:r/>
    </w:p>
    <w:p>
      <w:pPr>
        <w:spacing w:line="360" w:lineRule="auto"/>
        <w:rPr>
          <w:rFonts w:hint="eastAsia" w:hAnsi="宋体"/>
          <w:b w:val="0"/>
          <w:position w:val="0"/>
          <w:szCs w:val="24"/>
        </w:rPr>
      </w:pPr>
      <w:r>
        <w:rPr>
          <w:rFonts w:hint="eastAsia" w:hAnsi="宋体"/>
          <w:b w:val="0"/>
          <w:position w:val="0"/>
          <w:szCs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5"/>
        <w:gridCol w:w="2744"/>
        <w:gridCol w:w="4757"/>
      </w:tblGrid>
      <w:tr>
        <w:trPr/>
        <w:tc>
          <w:tcPr>
            <w:tcW w:w="479"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序号</w:t>
            </w:r>
            <w:r/>
          </w:p>
        </w:tc>
        <w:tc>
          <w:tcPr>
            <w:tcW w:w="1654"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审查要素</w:t>
            </w:r>
            <w:r/>
          </w:p>
        </w:tc>
        <w:tc>
          <w:tcPr>
            <w:tcW w:w="2867"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审查内容</w:t>
            </w:r>
            <w:r/>
          </w:p>
        </w:tc>
      </w:tr>
      <w:tr>
        <w:trPr/>
        <w:tc>
          <w:tcPr>
            <w:tcW w:w="479" w:type="pct"/>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Borders>
              <w:right w:val="single" w:color="auto" w:sz="4" w:space="0"/>
            </w:tcBorders>
            <w:tcW w:w="1654" w:type="pct"/>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投标文件</w:t>
            </w:r>
            <w:r>
              <w:rPr>
                <w:rFonts w:hAnsi="宋体"/>
                <w:b w:val="0"/>
                <w:position w:val="0"/>
                <w:szCs w:val="24"/>
              </w:rPr>
              <w:t xml:space="preserve">有效性</w:t>
            </w:r>
            <w:r/>
          </w:p>
        </w:tc>
        <w:tc>
          <w:tcPr>
            <w:tcBorders>
              <w:left w:val="single" w:color="auto" w:sz="4" w:space="0"/>
              <w:bottom w:val="single" w:color="auto" w:sz="4" w:space="0"/>
            </w:tcBorders>
            <w:tcW w:w="2867"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Borders>
              <w:right w:val="single" w:color="auto" w:sz="4" w:space="0"/>
            </w:tcBorders>
            <w:tcW w:w="1654" w:type="pct"/>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auto" w:sz="4" w:space="0"/>
              <w:left w:val="single" w:color="auto" w:sz="4" w:space="0"/>
            </w:tcBorders>
            <w:tcW w:w="2867"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Borders>
              <w:right w:val="single" w:color="auto" w:sz="4" w:space="0"/>
            </w:tcBorders>
            <w:tcW w:w="1654" w:type="pct"/>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auto" w:sz="4" w:space="0"/>
              <w:left w:val="single" w:color="auto" w:sz="4" w:space="0"/>
            </w:tcBorders>
            <w:tcW w:w="2867" w:type="pct"/>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未发现属无效投标的情形</w:t>
            </w:r>
            <w:r>
              <w:rPr>
                <w:rFonts w:hint="eastAsia" w:hAnsi="宋体"/>
                <w:b w:val="0"/>
                <w:position w:val="0"/>
                <w:szCs w:val="24"/>
              </w:rPr>
              <w:t xml:space="preserve">。</w:t>
            </w:r>
            <w:r/>
          </w:p>
        </w:tc>
      </w:tr>
      <w:tr>
        <w:trPr>
          <w:trHeight w:val="1424"/>
        </w:trPr>
        <w:tc>
          <w:tcPr>
            <w:tcW w:w="47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w:t>
            </w:r>
            <w:r/>
          </w:p>
        </w:tc>
        <w:tc>
          <w:tcPr>
            <w:tcW w:w="1654"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对招标文件响应程度</w:t>
            </w:r>
            <w:r/>
          </w:p>
        </w:tc>
        <w:tc>
          <w:tcPr>
            <w:tcW w:w="2867" w:type="pc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w:t>
            </w:r>
            <w:r/>
          </w:p>
        </w:tc>
        <w:tc>
          <w:tcPr>
            <w:tcW w:w="1654"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法定代表人身份证明书、法定代表人授权委托书</w:t>
            </w:r>
            <w:r/>
          </w:p>
        </w:tc>
        <w:tc>
          <w:tcPr>
            <w:tcW w:w="2867"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如法定代表人投标需提供身份证复印件，如为授权代表投标必须为投标人正式员工，证明材料：近三个月内任意一个月社会保险缴纳材料附后及授权代表身份证复印件。</w:t>
            </w:r>
            <w:r/>
          </w:p>
        </w:tc>
      </w:tr>
      <w:tr>
        <w:trPr>
          <w:trHeight w:val="1424"/>
        </w:trPr>
        <w:tc>
          <w:tcPr>
            <w:tcW w:w="479" w:type="pct"/>
            <w:vAlign w:val="center"/>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4</w:t>
            </w:r>
            <w:r/>
          </w:p>
        </w:tc>
        <w:tc>
          <w:tcPr>
            <w:tcW w:w="1654"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联合体说明(如有)</w:t>
            </w:r>
            <w:r/>
          </w:p>
        </w:tc>
        <w:tc>
          <w:tcPr>
            <w:tcW w:w="2867" w:type="pc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8.商务和技术评估</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W w:w="84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022"/>
      </w:tblGrid>
      <w:tr>
        <w:trPr>
          <w:trHeight w:val="26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评审因素</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评审标准</w:t>
            </w:r>
            <w:r/>
          </w:p>
        </w:tc>
      </w:tr>
      <w:tr>
        <w:trPr>
          <w:trHeight w:val="1495"/>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价格部分</w:t>
            </w:r>
            <w:r/>
          </w:p>
          <w:p>
            <w:pPr>
              <w:jc w:val="center"/>
              <w:spacing w:line="360" w:lineRule="auto"/>
              <w:rPr>
                <w:rFonts w:hint="eastAsia" w:hAnsi="宋体" w:cs="宋体"/>
                <w:b w:val="0"/>
                <w:szCs w:val="24"/>
              </w:rPr>
            </w:pPr>
            <w:r>
              <w:rPr>
                <w:rFonts w:hint="eastAsia" w:hAnsi="宋体" w:cs="宋体"/>
                <w:b w:val="0"/>
                <w:szCs w:val="24"/>
                <w:lang w:bidi="ar"/>
              </w:rPr>
              <w:t xml:space="preserve">（40分）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szCs w:val="24"/>
              </w:rPr>
            </w:pPr>
            <w:r>
              <w:rPr>
                <w:rFonts w:hint="eastAsia" w:hAnsi="宋体" w:cs="宋体"/>
                <w:b w:val="0"/>
                <w:szCs w:val="24"/>
                <w:lang w:bidi="ar"/>
              </w:rPr>
              <w:t xml:space="preserve">价格分统一采用低价优先法计算，即满足招标文件要求且所报统一折扣率最低的为评标基准价，其价格分为满分。其它投标人的价格分统一按照下列公式计算：</w:t>
            </w:r>
            <w:r/>
          </w:p>
          <w:p>
            <w:pPr>
              <w:spacing w:line="360" w:lineRule="auto"/>
              <w:rPr>
                <w:rFonts w:hint="eastAsia" w:hAnsi="宋体" w:cs="宋体"/>
                <w:b w:val="0"/>
                <w:szCs w:val="24"/>
              </w:rPr>
            </w:pPr>
            <w:r>
              <w:rPr>
                <w:rFonts w:hint="eastAsia" w:hAnsi="宋体" w:cs="宋体"/>
                <w:b w:val="0"/>
                <w:szCs w:val="24"/>
                <w:lang w:bidi="ar"/>
              </w:rPr>
              <w:t xml:space="preserve">投标报价得分=【评标基准价/所报统一折扣率】×40</w:t>
            </w:r>
            <w:r/>
          </w:p>
          <w:p>
            <w:pPr>
              <w:ind w:left="0" w:right="0" w:firstLine="0"/>
              <w:jc w:val="both"/>
              <w:spacing w:before="0" w:after="0" w:line="85" w:lineRule="atLeast"/>
              <w:rPr>
                <w:rFonts w:hint="eastAsia"/>
                <w:lang w:bidi="ar"/>
              </w:rPr>
              <w:pBdr>
                <w:top w:val="none" w:color="000000" w:sz="4" w:space="0"/>
                <w:left w:val="none" w:color="000000" w:sz="4" w:space="0"/>
                <w:bottom w:val="none" w:color="000000" w:sz="4" w:space="0"/>
                <w:right w:val="none" w:color="000000" w:sz="4" w:space="0"/>
              </w:pBdr>
            </w:pPr>
            <w:r>
              <w:rPr>
                <w:rFonts w:hint="eastAsia"/>
                <w:bCs/>
                <w:lang w:bidi="ar"/>
              </w:rPr>
              <w:t xml:space="preserve">注：</w:t>
            </w:r>
            <w:r>
              <w:rPr>
                <w:rFonts w:ascii="SimSun" w:hAnsi="SimSun" w:eastAsia="SimSun" w:cs="SimSun"/>
                <w:sz w:val="24"/>
              </w:rPr>
            </w:r>
          </w:p>
          <w:p>
            <w:pPr>
              <w:ind w:left="0" w:right="0" w:firstLine="0"/>
              <w:jc w:val="both"/>
              <w:spacing w:before="0" w:after="0" w:line="85" w:lineRule="atLeast"/>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hint="eastAsia"/>
                <w:bCs/>
                <w:lang w:bidi="ar"/>
              </w:rPr>
            </w:r>
            <w:r>
              <w:rPr>
                <w:rFonts w:ascii="SimSun" w:hAnsi="SimSun" w:eastAsia="SimSun" w:cs="SimSun"/>
                <w:b/>
                <w:color w:val="000000"/>
                <w:sz w:val="24"/>
              </w:rPr>
              <w:t xml:space="preserve">1.本项目为统一折扣率报价，各品目最高限价详见第四章技术需求，投标人所报统一折扣率超过100%的将作无效标处理。</w:t>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2.统一折扣率报价是指在结算时，各品目结算单价=各品目单价最高限价×所报统一折扣率。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3.如医用液氧单价最高限价为1650元，所报统一折扣率为80%，即结算单为1650*80%=1320元。</w:t>
            </w:r>
            <w:r/>
          </w:p>
          <w:p>
            <w:pPr>
              <w:pStyle w:val="1035"/>
              <w:jc w:val="both"/>
              <w:spacing w:before="0" w:beforeAutospacing="0" w:after="0" w:afterAutospacing="0" w:line="360" w:lineRule="auto"/>
              <w:widowControl w:val="off"/>
              <w:rPr>
                <w:rFonts w:hint="eastAsia" w:cs="Arial"/>
              </w:rPr>
            </w:pPr>
            <w:r>
              <w:rPr>
                <w:rFonts w:ascii="SimSun" w:hAnsi="SimSun" w:eastAsia="SimSun" w:cs="SimSun"/>
                <w:b/>
                <w:color w:val="000000"/>
                <w:sz w:val="24"/>
              </w:rPr>
              <w:t xml:space="preserve">4.苏采云系统的“开标一览表”模版中所显示的“优惠率”即指本项目所报的“统一折扣率”，投标人直接填写即可。</w:t>
            </w:r>
            <w:r/>
            <w:r>
              <w:rPr>
                <w:rFonts w:hint="eastAsia"/>
                <w:bCs/>
                <w:lang w:bidi="ar"/>
              </w:rPr>
            </w:r>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运输车辆</w:t>
            </w:r>
            <w:r/>
          </w:p>
          <w:p>
            <w:pPr>
              <w:jc w:val="center"/>
              <w:spacing w:line="360" w:lineRule="auto"/>
              <w:rPr>
                <w:rFonts w:hint="eastAsia" w:hAnsi="宋体" w:cs="宋体"/>
                <w:b w:val="0"/>
                <w:szCs w:val="24"/>
              </w:rPr>
            </w:pPr>
            <w:r>
              <w:rPr>
                <w:rFonts w:hint="eastAsia" w:hAnsi="宋体" w:cs="宋体"/>
                <w:b w:val="0"/>
                <w:szCs w:val="24"/>
                <w:lang w:bidi="ar"/>
              </w:rPr>
              <w:t xml:space="preserve">（3分）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szCs w:val="24"/>
              </w:rPr>
            </w:pPr>
            <w:r>
              <w:rPr>
                <w:rFonts w:hint="eastAsia" w:hAnsi="宋体" w:cs="宋体"/>
                <w:b w:val="0"/>
                <w:szCs w:val="24"/>
                <w:lang w:bidi="ar"/>
              </w:rPr>
              <w:t xml:space="preserve">投标人或委托的承运人在满足技术需求中所要求提供的车辆的基础上，为本项目投入每多1台车得1分，本项目最多得3分，未提供的不得分。</w:t>
            </w:r>
            <w:r/>
          </w:p>
          <w:p>
            <w:pPr>
              <w:spacing w:line="360" w:lineRule="auto"/>
              <w:rPr>
                <w:rFonts w:hint="eastAsia" w:hAnsi="宋体" w:cs="宋体"/>
                <w:b w:val="0"/>
                <w:szCs w:val="24"/>
              </w:rPr>
            </w:pPr>
            <w:r>
              <w:rPr>
                <w:rFonts w:hint="eastAsia" w:hAnsi="宋体" w:cs="宋体"/>
                <w:b w:val="0"/>
                <w:szCs w:val="24"/>
                <w:lang w:bidi="ar"/>
              </w:rPr>
              <w:t xml:space="preserve">投标人自有车辆的，应提供车辆购置发票及行驶证。投标人委托承运人的，应提供有效期内委托协议及车辆行驶证。</w:t>
            </w:r>
            <w:r/>
          </w:p>
        </w:tc>
      </w:tr>
      <w:tr>
        <w:trPr>
          <w:trHeight w:val="1495"/>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业绩</w:t>
            </w:r>
            <w:r/>
          </w:p>
          <w:p>
            <w:pPr>
              <w:jc w:val="center"/>
              <w:spacing w:line="360" w:lineRule="auto"/>
              <w:rPr>
                <w:rFonts w:hint="eastAsia" w:hAnsi="宋体" w:cs="宋体"/>
                <w:b w:val="0"/>
                <w:szCs w:val="24"/>
              </w:rPr>
            </w:pPr>
            <w:r>
              <w:rPr>
                <w:rFonts w:hint="eastAsia" w:hAnsi="宋体" w:cs="宋体"/>
                <w:b w:val="0"/>
                <w:szCs w:val="24"/>
                <w:lang w:bidi="ar"/>
              </w:rPr>
              <w:t xml:space="preserve">（7分）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szCs w:val="24"/>
              </w:rPr>
            </w:pPr>
            <w:r>
              <w:rPr>
                <w:rFonts w:hint="eastAsia" w:hAnsi="宋体" w:cs="宋体"/>
                <w:b w:val="0"/>
                <w:szCs w:val="24"/>
                <w:lang w:bidi="ar"/>
              </w:rPr>
              <w:t xml:space="preserve">1.投标人需提供自2022年1月1日以来（时间以合同签订时间或发票开具时间为准）特气供应的合同，有一个得1分。最多得2分。</w:t>
            </w:r>
            <w:r/>
          </w:p>
          <w:p>
            <w:pPr>
              <w:spacing w:line="360" w:lineRule="auto"/>
              <w:rPr>
                <w:rFonts w:hint="eastAsia" w:hAnsi="宋体" w:cs="宋体"/>
                <w:b w:val="0"/>
                <w:szCs w:val="24"/>
              </w:rPr>
            </w:pPr>
            <w:r>
              <w:rPr>
                <w:rFonts w:hint="eastAsia" w:hAnsi="宋体" w:cs="宋体"/>
                <w:b w:val="0"/>
                <w:szCs w:val="24"/>
                <w:lang w:bidi="ar"/>
              </w:rPr>
              <w:t xml:space="preserve">2.投标人需提供自2022年1月1日以来（时间以合同签订时间或发票开具时间为准）液氮供应的合同，有一个得1分。最多得5分。</w:t>
            </w:r>
            <w:r/>
          </w:p>
          <w:p>
            <w:pPr>
              <w:spacing w:line="360" w:lineRule="auto"/>
              <w:rPr>
                <w:rFonts w:hint="eastAsia" w:hAnsi="宋体" w:cs="宋体"/>
                <w:b w:val="0"/>
                <w:szCs w:val="24"/>
              </w:rPr>
            </w:pPr>
            <w:r>
              <w:rPr>
                <w:rFonts w:hint="eastAsia" w:hAnsi="宋体" w:cs="宋体"/>
                <w:b w:val="0"/>
                <w:szCs w:val="24"/>
                <w:lang w:bidi="ar"/>
              </w:rPr>
              <w:t xml:space="preserve">（提供合同复印件加盖公章，合同须能提现项目名称、主要标的物，签订时间和签章清晰可见，时间以签订时间为准。）</w:t>
            </w:r>
            <w:r/>
          </w:p>
        </w:tc>
      </w:tr>
      <w:tr>
        <w:trPr>
          <w:trHeight w:val="2912"/>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供货能力（5分）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widowControl/>
              <w:rPr>
                <w:rFonts w:hint="eastAsia" w:hAnsi="宋体" w:cs="宋体"/>
                <w:b w:val="0"/>
                <w:szCs w:val="24"/>
              </w:rPr>
            </w:pPr>
            <w:r>
              <w:rPr>
                <w:rFonts w:hint="eastAsia" w:hAnsi="宋体" w:cs="宋体"/>
                <w:b w:val="0"/>
                <w:szCs w:val="24"/>
              </w:rPr>
              <w:t xml:space="preserve">投标人应具备多家生产厂商供货保障能力：具备2家医用液氧生产厂家得2分，具备3家医用液氧生产厂家得3分，具备4家医用液氧生产厂家及以上得5分，2家以下不得分。本项最多得5分。</w:t>
            </w:r>
            <w:r/>
          </w:p>
          <w:p>
            <w:pPr>
              <w:spacing w:line="360" w:lineRule="auto"/>
              <w:widowControl/>
              <w:rPr>
                <w:rFonts w:hint="eastAsia" w:hAnsi="宋体" w:cs="宋体"/>
                <w:b w:val="0"/>
                <w:szCs w:val="24"/>
              </w:rPr>
            </w:pPr>
            <w:r>
              <w:rPr>
                <w:rFonts w:hint="eastAsia" w:hAnsi="宋体" w:cs="宋体"/>
                <w:b w:val="0"/>
                <w:szCs w:val="24"/>
              </w:rPr>
              <w:t xml:space="preserve">注:投标人为生产企业的，应提供营业执照复印件；投标人为经营企业的，应提供其与生产厂家的合作协议复印件及生产企业营业执照复印件；未按要求提供的不得分。</w:t>
            </w:r>
            <w:r/>
          </w:p>
        </w:tc>
      </w:tr>
      <w:tr>
        <w:trPr>
          <w:trHeight w:val="841"/>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bidi="ar"/>
              </w:rPr>
              <w:t xml:space="preserve">服务方案</w:t>
            </w:r>
            <w:r/>
          </w:p>
          <w:p>
            <w:pPr>
              <w:jc w:val="center"/>
              <w:spacing w:line="360" w:lineRule="auto"/>
              <w:rPr>
                <w:rFonts w:hint="eastAsia" w:hAnsi="宋体"/>
                <w:b w:val="0"/>
                <w:bCs/>
                <w:szCs w:val="24"/>
              </w:rPr>
            </w:pPr>
            <w:r>
              <w:rPr>
                <w:rFonts w:hint="eastAsia" w:hAnsi="宋体" w:cs="宋体"/>
                <w:b w:val="0"/>
                <w:bCs/>
                <w:szCs w:val="24"/>
                <w:lang w:bidi="ar"/>
              </w:rPr>
              <w:t xml:space="preserve">（45分）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left"/>
              <w:spacing w:line="360" w:lineRule="auto"/>
              <w:rPr>
                <w:rFonts w:hint="eastAsia" w:hAnsi="宋体" w:cs="宋体"/>
                <w:bCs/>
                <w:szCs w:val="24"/>
              </w:rPr>
            </w:pPr>
            <w:r>
              <w:rPr>
                <w:rFonts w:hint="eastAsia" w:hAnsi="宋体" w:cs="宋体"/>
                <w:bCs/>
                <w:szCs w:val="24"/>
                <w:lang w:bidi="ar"/>
              </w:rPr>
              <w:t xml:space="preserve">1、配送方案（8分）</w:t>
            </w:r>
            <w:r/>
          </w:p>
          <w:p>
            <w:pPr>
              <w:spacing w:line="360" w:lineRule="auto"/>
              <w:rPr>
                <w:rFonts w:hint="eastAsia" w:hAnsi="宋体" w:cs="宋体"/>
                <w:b w:val="0"/>
                <w:szCs w:val="24"/>
              </w:rPr>
            </w:pPr>
            <w:r>
              <w:rPr>
                <w:rFonts w:hint="eastAsia" w:hAnsi="宋体" w:cs="宋体"/>
                <w:b w:val="0"/>
                <w:szCs w:val="24"/>
                <w:lang w:bidi="ar"/>
              </w:rPr>
              <w:t xml:space="preserve">根据投标人整体配送方案（包括但不限于配送内容、配送流程、配送员选定、实施细则）的全面、科学、完整性进行综合评分：</w:t>
            </w:r>
            <w:r/>
          </w:p>
          <w:p>
            <w:pPr>
              <w:spacing w:line="360" w:lineRule="auto"/>
              <w:rPr>
                <w:rFonts w:hint="eastAsia" w:hAnsi="宋体" w:cs="宋体"/>
                <w:b w:val="0"/>
                <w:szCs w:val="24"/>
              </w:rPr>
            </w:pPr>
            <w:r>
              <w:rPr>
                <w:rFonts w:hint="eastAsia" w:hAnsi="宋体" w:cs="宋体"/>
                <w:b w:val="0"/>
                <w:szCs w:val="24"/>
                <w:lang w:bidi="ar"/>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（2）经评审，方案具备较强合理性的得2.5分，方案具备一定合理性的得1分，方案合理性有缺陷或未提供不得分；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（3）经评审，方案具备较强针对性且切实可行的得2.5分，方案</w:t>
            </w:r>
            <w:r>
              <w:rPr>
                <w:rFonts w:hint="eastAsia" w:hAnsi="宋体" w:cs="宋体"/>
                <w:b w:val="0"/>
                <w:szCs w:val="24"/>
                <w:lang w:bidi="ar"/>
              </w:rPr>
              <w:t xml:space="preserve">具备一定针对性及可行性的得1分，方案针对性或可行性有缺陷或未提供不得分。</w:t>
            </w:r>
            <w:r/>
          </w:p>
          <w:p>
            <w:pPr>
              <w:jc w:val="left"/>
              <w:spacing w:line="360" w:lineRule="auto"/>
              <w:rPr>
                <w:rFonts w:hint="eastAsia" w:hAnsi="宋体" w:cs="宋体"/>
                <w:bCs/>
                <w:szCs w:val="24"/>
              </w:rPr>
            </w:pPr>
            <w:r>
              <w:rPr>
                <w:rFonts w:hint="eastAsia" w:hAnsi="宋体" w:cs="宋体"/>
                <w:bCs/>
                <w:szCs w:val="24"/>
                <w:lang w:bidi="ar"/>
              </w:rPr>
              <w:t xml:space="preserve">2、灌装实施方案（8分）</w:t>
            </w:r>
            <w:r/>
          </w:p>
          <w:p>
            <w:pPr>
              <w:spacing w:line="360" w:lineRule="auto"/>
              <w:rPr>
                <w:rFonts w:hint="eastAsia" w:hAnsi="宋体" w:cs="宋体"/>
                <w:b w:val="0"/>
                <w:szCs w:val="24"/>
              </w:rPr>
            </w:pPr>
            <w:r>
              <w:rPr>
                <w:rFonts w:hint="eastAsia" w:hAnsi="宋体" w:cs="宋体"/>
                <w:b w:val="0"/>
                <w:szCs w:val="24"/>
                <w:lang w:bidi="ar"/>
              </w:rPr>
              <w:t xml:space="preserve">投标人应充分考虑医院现有设施情况，提供灌装实施方案（包括但不仅限于供应商为灌装过程所投入的人力、物力、和具体实施方案）：</w:t>
            </w:r>
            <w:r/>
          </w:p>
          <w:p>
            <w:pPr>
              <w:spacing w:line="360" w:lineRule="auto"/>
              <w:rPr>
                <w:rFonts w:hint="eastAsia" w:hAnsi="宋体" w:cs="宋体"/>
                <w:b w:val="0"/>
                <w:szCs w:val="24"/>
              </w:rPr>
            </w:pPr>
            <w:r>
              <w:rPr>
                <w:rFonts w:hint="eastAsia" w:hAnsi="宋体" w:cs="宋体"/>
                <w:b w:val="0"/>
                <w:szCs w:val="24"/>
                <w:lang w:bidi="ar"/>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（2）经评审，方案具备较强合理性的得2.5分，方案具备一定合理性的得1分，方案合理性有缺陷或未提供不得分；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（3）经评审，方案具备较强针对性且切实可行的得2.5分，方案具备一定针对性及可行性的得1分，方案针对性或可行性有缺陷或未提供不得分。</w:t>
            </w:r>
            <w:r/>
          </w:p>
          <w:p>
            <w:pPr>
              <w:jc w:val="left"/>
              <w:spacing w:line="360" w:lineRule="auto"/>
              <w:rPr>
                <w:rFonts w:hint="eastAsia" w:hAnsi="宋体" w:cs="宋体"/>
                <w:bCs/>
                <w:szCs w:val="24"/>
              </w:rPr>
            </w:pPr>
            <w:r>
              <w:rPr>
                <w:rFonts w:hint="eastAsia" w:hAnsi="宋体" w:cs="宋体"/>
                <w:bCs/>
                <w:szCs w:val="24"/>
                <w:lang w:bidi="ar"/>
              </w:rPr>
              <w:t xml:space="preserve">3、应急方案（8分）</w:t>
            </w:r>
            <w:r/>
          </w:p>
          <w:p>
            <w:pPr>
              <w:jc w:val="left"/>
              <w:spacing w:line="360" w:lineRule="auto"/>
              <w:rPr>
                <w:rFonts w:hint="eastAsia" w:hAnsi="宋体" w:cs="宋体"/>
                <w:bCs/>
                <w:szCs w:val="24"/>
              </w:rPr>
            </w:pPr>
            <w:r>
              <w:rPr>
                <w:rFonts w:hint="eastAsia" w:hAnsi="宋体" w:cs="宋体"/>
                <w:b w:val="0"/>
                <w:szCs w:val="24"/>
                <w:lang w:bidi="ar"/>
              </w:rPr>
              <w:t xml:space="preserve">根据投标人应急方案（包括但不限于设备配置、运输过程、突发情况处置、医院非工作日紧急配送要求处置）的全面、科学、完整性进行综合评分</w:t>
            </w:r>
            <w:r>
              <w:rPr>
                <w:rFonts w:hint="eastAsia" w:hAnsi="宋体" w:cs="宋体"/>
                <w:bCs/>
                <w:szCs w:val="24"/>
                <w:lang w:bidi="ar"/>
              </w:rPr>
              <w:t xml:space="preserve">：</w:t>
            </w:r>
            <w:r/>
          </w:p>
          <w:p>
            <w:pPr>
              <w:spacing w:line="360" w:lineRule="auto"/>
              <w:rPr>
                <w:rFonts w:hint="eastAsia" w:hAnsi="宋体" w:cs="宋体"/>
                <w:b w:val="0"/>
                <w:szCs w:val="24"/>
              </w:rPr>
            </w:pPr>
            <w:r>
              <w:rPr>
                <w:rFonts w:hint="eastAsia" w:hAnsi="宋体" w:cs="宋体"/>
                <w:b w:val="0"/>
                <w:szCs w:val="24"/>
                <w:lang w:bidi="ar"/>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（2）经评审，方案具备较强合理性的得2.5分，方案具备一定合理性的得1分，方案合理性有缺陷或未提供不得分；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（3）经评审，方案具备较强针对性且切实可行的得2.5分，方案具备一定针对性及可行性的得1分，方案针对性或可行性有缺陷或未提供不得分。</w:t>
            </w:r>
            <w:r/>
          </w:p>
          <w:p>
            <w:pPr>
              <w:jc w:val="left"/>
              <w:spacing w:line="360" w:lineRule="auto"/>
              <w:rPr>
                <w:rFonts w:hint="eastAsia" w:hAnsi="宋体" w:cs="宋体"/>
                <w:b w:val="0"/>
                <w:szCs w:val="24"/>
              </w:rPr>
            </w:pPr>
            <w:r>
              <w:rPr>
                <w:rFonts w:hint="eastAsia" w:hAnsi="宋体" w:cs="宋体"/>
                <w:bCs/>
                <w:szCs w:val="24"/>
                <w:lang w:bidi="ar"/>
              </w:rPr>
              <w:t xml:space="preserve">4、质量/安全保障措施或管理制度及退换货方案（8分） </w:t>
            </w:r>
            <w:r/>
          </w:p>
          <w:p>
            <w:pPr>
              <w:jc w:val="left"/>
              <w:spacing w:line="360" w:lineRule="auto"/>
              <w:rPr>
                <w:rFonts w:hint="eastAsia" w:hAnsi="宋体" w:cs="宋体"/>
                <w:b w:val="0"/>
                <w:szCs w:val="24"/>
              </w:rPr>
            </w:pPr>
            <w:r>
              <w:rPr>
                <w:rFonts w:hint="eastAsia" w:hAnsi="宋体" w:cs="宋体"/>
                <w:b w:val="0"/>
                <w:szCs w:val="24"/>
                <w:lang w:bidi="ar"/>
              </w:rPr>
              <w:t xml:space="preserve">为保证产品质量及项目实施的安全性，投标人提供在生产、运输等过程中的质量/安全保障措施或管理制度及退换货方案进行综</w:t>
            </w:r>
            <w:r>
              <w:rPr>
                <w:rFonts w:hint="eastAsia" w:hAnsi="宋体" w:cs="宋体"/>
                <w:b w:val="0"/>
                <w:szCs w:val="24"/>
                <w:lang w:bidi="ar"/>
              </w:rPr>
              <w:t xml:space="preserve">合评分： </w:t>
            </w:r>
            <w:r/>
          </w:p>
          <w:p>
            <w:pPr>
              <w:spacing w:line="360" w:lineRule="auto"/>
              <w:rPr>
                <w:rFonts w:hint="eastAsia" w:hAnsi="宋体" w:cs="宋体"/>
                <w:b w:val="0"/>
                <w:szCs w:val="24"/>
              </w:rPr>
            </w:pPr>
            <w:r>
              <w:rPr>
                <w:rFonts w:hint="eastAsia" w:hAnsi="宋体" w:cs="宋体"/>
                <w:b w:val="0"/>
                <w:szCs w:val="24"/>
                <w:lang w:bidi="ar"/>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（2）经评审，方案具备较强合理性的得2.5分，方案具备一定合理性的得1分，方案合理性有缺陷或未提供不得分；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（3）经评审，方案具备较强针对性且切实可行的得2.5分，方案具备一定针对性及可行性的得1分，方案针对性或可行性有缺陷或未提供不得分。</w:t>
            </w:r>
            <w:r/>
          </w:p>
          <w:p>
            <w:pPr>
              <w:jc w:val="left"/>
              <w:spacing w:line="360" w:lineRule="auto"/>
              <w:rPr>
                <w:rFonts w:hint="eastAsia" w:hAnsi="宋体" w:cs="宋体"/>
                <w:bCs/>
                <w:szCs w:val="24"/>
              </w:rPr>
            </w:pPr>
            <w:r>
              <w:rPr>
                <w:rFonts w:hint="eastAsia" w:hAnsi="宋体" w:cs="宋体"/>
                <w:bCs/>
                <w:szCs w:val="24"/>
                <w:lang w:bidi="ar"/>
              </w:rPr>
              <w:t xml:space="preserve">5、售后服务方案（8分）</w:t>
            </w:r>
            <w:r/>
          </w:p>
          <w:p>
            <w:pPr>
              <w:jc w:val="left"/>
              <w:spacing w:line="360" w:lineRule="auto"/>
              <w:rPr>
                <w:rFonts w:hint="eastAsia" w:hAnsi="宋体" w:cs="宋体"/>
                <w:b w:val="0"/>
                <w:szCs w:val="24"/>
              </w:rPr>
            </w:pPr>
            <w:r>
              <w:rPr>
                <w:rFonts w:hint="eastAsia" w:hAnsi="宋体" w:cs="宋体"/>
                <w:b w:val="0"/>
                <w:szCs w:val="24"/>
                <w:lang w:bidi="ar"/>
              </w:rPr>
              <w:t xml:space="preserve">根据投标人针对本项目提供的售后服务方案进行综合评分，方案应包含但不限于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等方面：</w:t>
            </w:r>
            <w:r/>
          </w:p>
          <w:p>
            <w:pPr>
              <w:spacing w:line="360" w:lineRule="auto"/>
              <w:rPr>
                <w:rFonts w:hint="eastAsia" w:hAnsi="宋体" w:cs="宋体"/>
                <w:b w:val="0"/>
                <w:szCs w:val="24"/>
              </w:rPr>
            </w:pPr>
            <w:r>
              <w:rPr>
                <w:rFonts w:hint="eastAsia" w:hAnsi="宋体" w:cs="宋体"/>
                <w:b w:val="0"/>
                <w:szCs w:val="24"/>
                <w:lang w:bidi="ar"/>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（2）经评审，方案具备较强合理性的得2.5分，方案具备一定合理性的得1分，方案合理性有缺陷或未提供不得分；</w:t>
            </w:r>
            <w:r/>
          </w:p>
          <w:p>
            <w:pPr>
              <w:spacing w:line="360" w:lineRule="auto"/>
              <w:rPr>
                <w:rFonts w:hint="eastAsia" w:hAnsi="宋体" w:cs="宋体"/>
                <w:b w:val="0"/>
                <w:szCs w:val="24"/>
              </w:rPr>
            </w:pPr>
            <w:r>
              <w:rPr>
                <w:rFonts w:hint="eastAsia" w:hAnsi="宋体" w:cs="宋体"/>
                <w:b w:val="0"/>
                <w:szCs w:val="24"/>
                <w:lang w:bidi="ar"/>
              </w:rPr>
              <w:t xml:space="preserve">（3）经评审，方案具备较强针对性且切实可行的得2.5分，方案具备一定针对性及可行性的得1分，方案针对性或可行性有缺陷或未提供不得分。</w:t>
            </w:r>
            <w:r/>
          </w:p>
          <w:p>
            <w:pPr>
              <w:jc w:val="left"/>
              <w:spacing w:line="360" w:lineRule="auto"/>
              <w:rPr>
                <w:rFonts w:hint="eastAsia" w:hAnsi="宋体" w:cs="宋体"/>
                <w:bCs/>
                <w:szCs w:val="24"/>
              </w:rPr>
            </w:pPr>
            <w:r>
              <w:rPr>
                <w:rFonts w:hint="eastAsia" w:hAnsi="宋体" w:cs="宋体"/>
                <w:bCs/>
                <w:szCs w:val="24"/>
                <w:lang w:bidi="ar"/>
              </w:rPr>
              <w:t xml:space="preserve">6、增值服务（5分）</w:t>
            </w:r>
            <w:r/>
          </w:p>
          <w:p>
            <w:pPr>
              <w:spacing w:line="360" w:lineRule="auto"/>
              <w:rPr>
                <w:rFonts w:hint="eastAsia" w:hAnsi="宋体" w:cs="宋体"/>
                <w:b w:val="0"/>
                <w:szCs w:val="24"/>
              </w:rPr>
            </w:pPr>
            <w:r>
              <w:rPr>
                <w:rFonts w:hint="eastAsia" w:hAnsi="宋体" w:cs="宋体"/>
                <w:b w:val="0"/>
                <w:szCs w:val="24"/>
                <w:lang w:bidi="ar"/>
              </w:rPr>
              <w:t xml:space="preserve">投标人根据项目实际要求，结合自身经验，提出针对本项目的增值服务内容。</w:t>
            </w:r>
            <w:r/>
          </w:p>
          <w:p>
            <w:pPr>
              <w:spacing w:line="360" w:lineRule="auto"/>
              <w:rPr>
                <w:rFonts w:hint="eastAsia" w:hAnsi="宋体" w:cs="宋体"/>
                <w:b w:val="0"/>
                <w:szCs w:val="24"/>
              </w:rPr>
            </w:pPr>
            <w:r>
              <w:rPr>
                <w:rFonts w:hint="eastAsia" w:hAnsi="宋体" w:cs="宋体"/>
                <w:b w:val="0"/>
                <w:szCs w:val="24"/>
                <w:lang w:bidi="ar"/>
              </w:rPr>
              <w:t xml:space="preserve">（1）方案所述内容完整详实，清晰描述相关内容的得1分，方案基本完整，对相关内容均有表述的得0.5分，完整性有缺陷或未</w:t>
            </w:r>
            <w:r>
              <w:rPr>
                <w:rFonts w:hint="eastAsia" w:hAnsi="宋体" w:cs="宋体"/>
                <w:b w:val="0"/>
                <w:szCs w:val="24"/>
                <w:lang w:bidi="ar"/>
              </w:rPr>
              <w:t xml:space="preserve">提供不得分；</w:t>
            </w:r>
            <w:r/>
          </w:p>
          <w:p>
            <w:pPr>
              <w:spacing w:line="360" w:lineRule="auto"/>
              <w:rPr>
                <w:rFonts w:hint="eastAsia" w:hAnsi="宋体" w:cs="宋体"/>
                <w:b w:val="0"/>
                <w:szCs w:val="24"/>
              </w:rPr>
            </w:pPr>
            <w:r>
              <w:rPr>
                <w:rFonts w:hint="eastAsia" w:hAnsi="宋体" w:cs="宋体"/>
                <w:b w:val="0"/>
                <w:szCs w:val="24"/>
                <w:lang w:bidi="ar"/>
              </w:rPr>
              <w:t xml:space="preserve">（2）经评审，方案具备较强针对性且经评审具备实际意义的得2分，方案具备一定针对性及实际意义的得1分，其余情况或未提供不得分；</w:t>
            </w:r>
            <w:r/>
          </w:p>
          <w:p>
            <w:pPr>
              <w:spacing w:line="360" w:lineRule="auto"/>
              <w:rPr>
                <w:rFonts w:hint="eastAsia" w:hAnsi="宋体" w:cs="宋体"/>
                <w:b w:val="0"/>
                <w:szCs w:val="24"/>
              </w:rPr>
            </w:pPr>
            <w:r>
              <w:rPr>
                <w:rFonts w:hint="eastAsia" w:hAnsi="宋体" w:cs="宋体"/>
                <w:b w:val="0"/>
                <w:szCs w:val="24"/>
                <w:lang w:bidi="ar"/>
              </w:rPr>
              <w:t xml:space="preserve">（3）经评审，方案具备经评审切实可行的得2分，方案具备一定可行性的得1分，其余情况或未提供不得分。</w:t>
            </w:r>
            <w:r/>
          </w:p>
        </w:tc>
      </w:tr>
    </w:tbl>
    <w:p>
      <w:pPr>
        <w:rPr>
          <w:rFonts w:hint="eastAsia" w:hAnsi="宋体" w:cs="宋体"/>
          <w:b w:val="0"/>
          <w:bCs/>
        </w:rPr>
      </w:pPr>
      <w:r>
        <w:rPr>
          <w:rFonts w:hint="eastAsia" w:hAnsi="宋体" w:cs="宋体"/>
          <w:b w:val="0"/>
          <w:bCs/>
        </w:rPr>
      </w:r>
      <w:r/>
    </w:p>
    <w:p>
      <w:pPr>
        <w:ind w:firstLine="480"/>
        <w:jc w:val="left"/>
        <w:spacing w:line="360" w:lineRule="auto"/>
        <w:rPr>
          <w:rFonts w:hint="eastAsia" w:hAnsi="宋体" w:cs="宋体"/>
          <w:b w:val="0"/>
          <w:bCs/>
        </w:rPr>
      </w:pPr>
      <w:r>
        <w:rPr>
          <w:rFonts w:hint="eastAsia" w:hAnsi="宋体" w:cs="宋体"/>
          <w:b w:val="0"/>
          <w:bCs/>
        </w:rPr>
      </w:r>
      <w:r/>
    </w:p>
    <w:p>
      <w:pPr>
        <w:ind w:firstLine="48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①本项目为专门面向中小</w:t>
      </w:r>
      <w:r>
        <w:rPr>
          <w:rFonts w:hint="eastAsia" w:hAnsi="宋体" w:cs="宋体"/>
          <w:b w:val="0"/>
          <w:bCs/>
        </w:rPr>
        <w:t xml:space="preserve">微企业采购的项目，对</w:t>
      </w:r>
      <w:r>
        <w:rPr>
          <w:rFonts w:hint="eastAsia" w:hAnsi="宋体" w:cs="宋体"/>
        </w:rPr>
        <w:t xml:space="preserve">小型和微型企业</w:t>
      </w:r>
      <w:r>
        <w:rPr>
          <w:rFonts w:hint="eastAsia" w:hAnsi="宋体" w:cs="宋体"/>
          <w:b w:val="0"/>
          <w:bCs/>
        </w:rPr>
        <w:t xml:space="preserve">产品价格</w:t>
      </w:r>
      <w:r>
        <w:rPr>
          <w:rFonts w:hint="eastAsia" w:hAnsi="宋体" w:cs="宋体"/>
        </w:rPr>
        <w:t xml:space="preserve">不再进行价格扣除</w:t>
      </w:r>
      <w:r>
        <w:rPr>
          <w:rFonts w:hint="eastAsia" w:hAnsi="宋体" w:cs="宋体"/>
          <w:b w:val="0"/>
          <w:bCs/>
        </w:rPr>
        <w:t xml:space="preserve">，供应商需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9"/>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9"/>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w:t>
      </w:r>
      <w:r>
        <w:rPr>
          <w:rFonts w:hint="eastAsia" w:hAnsi="宋体" w:cs="宋体"/>
          <w:b w:val="0"/>
          <w:bCs/>
        </w:rPr>
        <w:t xml:space="preserve">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投标产品如为环境标志产品的，投标人需提供产品及型号所在清单页的复印件并用标识标明，如未提供，评委会将仅按可明确进行价格扣除的内容进行扣除。</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9.相同品牌产品的处理原则</w:t>
      </w:r>
      <w:r/>
    </w:p>
    <w:p>
      <w:pPr>
        <w:ind w:firstLine="473"/>
        <w:spacing w:line="360" w:lineRule="auto"/>
        <w:rPr>
          <w:rFonts w:hint="eastAsia" w:hAnsi="宋体"/>
          <w:b w:val="0"/>
          <w:position w:val="0"/>
          <w:szCs w:val="24"/>
        </w:rPr>
        <w:outlineLvl w:val="2"/>
      </w:pPr>
      <w:r>
        <w:rPr>
          <w:rFonts w:hint="eastAsia" w:hAnsi="宋体"/>
          <w:b w:val="0"/>
          <w:position w:val="0"/>
          <w:szCs w:val="24"/>
        </w:rPr>
        <w:t xml:space="preserve">9.1非单一产品采购项目，采购人应当根据采购项目技术构成、产品价格比</w:t>
      </w:r>
      <w:r>
        <w:rPr>
          <w:rFonts w:hint="eastAsia" w:hAnsi="宋体"/>
          <w:b w:val="0"/>
          <w:position w:val="0"/>
          <w:szCs w:val="24"/>
        </w:rPr>
        <w:t xml:space="preserve">重等合理确定核心产品。本项目核心产品见投标人须知前附表。</w:t>
      </w:r>
      <w:r/>
    </w:p>
    <w:p>
      <w:pPr>
        <w:ind w:firstLine="480"/>
        <w:spacing w:line="360" w:lineRule="auto"/>
        <w:rPr>
          <w:rFonts w:hint="eastAsia" w:hAnsi="宋体"/>
          <w:b w:val="0"/>
          <w:position w:val="0"/>
          <w:szCs w:val="24"/>
        </w:rPr>
      </w:pPr>
      <w:r>
        <w:rPr>
          <w:rFonts w:hint="eastAsia" w:hAnsi="宋体"/>
          <w:b w:val="0"/>
          <w:position w:val="0"/>
          <w:szCs w:val="24"/>
        </w:rPr>
        <w:t xml:space="preserve">9.2使用综合评分法的采购项目，核心产品提供相同品牌产品且通过资格审查、符合性审查的不同投标人参加同一合同项下投标的，按一家投标</w:t>
      </w:r>
      <w:r>
        <w:rPr>
          <w:rFonts w:hint="eastAsia" w:hAnsi="宋体"/>
          <w:b w:val="0"/>
          <w:position w:val="0"/>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10.允许修改评标结果的情形</w:t>
      </w:r>
      <w:r/>
    </w:p>
    <w:p>
      <w:pPr>
        <w:ind w:firstLine="480"/>
        <w:spacing w:line="360" w:lineRule="auto"/>
        <w:rPr>
          <w:rFonts w:hint="eastAsia" w:hAnsi="宋体"/>
          <w:b w:val="0"/>
          <w:position w:val="0"/>
          <w:szCs w:val="24"/>
        </w:rPr>
      </w:pPr>
      <w:r>
        <w:rPr>
          <w:rFonts w:hint="eastAsia" w:hAnsi="宋体"/>
          <w:b w:val="0"/>
          <w:position w:val="0"/>
          <w:szCs w:val="24"/>
        </w:rPr>
        <w:t xml:space="preserve">10.1评标结果汇总完成后，除下列情形外，任何人不得修改评标结果：</w:t>
      </w:r>
      <w:r/>
    </w:p>
    <w:p>
      <w:pPr>
        <w:ind w:firstLine="480"/>
        <w:spacing w:line="360" w:lineRule="auto"/>
        <w:rPr>
          <w:rFonts w:hint="eastAsia" w:hAnsi="宋体"/>
          <w:b w:val="0"/>
          <w:position w:val="0"/>
          <w:szCs w:val="24"/>
        </w:rPr>
      </w:pPr>
      <w:r>
        <w:rPr>
          <w:rFonts w:hint="eastAsia" w:hAnsi="宋体"/>
          <w:b w:val="0"/>
          <w:position w:val="0"/>
          <w:szCs w:val="24"/>
        </w:rPr>
        <w:t xml:space="preserve">（1）分值汇总计算错误的；</w:t>
      </w:r>
      <w:r/>
    </w:p>
    <w:p>
      <w:pPr>
        <w:ind w:firstLine="480"/>
        <w:spacing w:line="360" w:lineRule="auto"/>
        <w:rPr>
          <w:rFonts w:hint="eastAsia" w:hAnsi="宋体"/>
          <w:b w:val="0"/>
          <w:position w:val="0"/>
          <w:szCs w:val="24"/>
        </w:rPr>
      </w:pPr>
      <w:r>
        <w:rPr>
          <w:rFonts w:hint="eastAsia" w:hAnsi="宋体"/>
          <w:b w:val="0"/>
          <w:position w:val="0"/>
          <w:szCs w:val="24"/>
        </w:rPr>
        <w:t xml:space="preserve">（2）分项评分超出评分标准范围的；</w:t>
      </w:r>
      <w:r/>
    </w:p>
    <w:p>
      <w:pPr>
        <w:ind w:firstLine="480"/>
        <w:spacing w:line="360" w:lineRule="auto"/>
        <w:rPr>
          <w:rFonts w:hint="eastAsia" w:hAnsi="宋体"/>
          <w:b w:val="0"/>
          <w:position w:val="0"/>
          <w:szCs w:val="24"/>
        </w:rPr>
      </w:pPr>
      <w:r>
        <w:rPr>
          <w:rFonts w:hint="eastAsia" w:hAnsi="宋体"/>
          <w:b w:val="0"/>
          <w:position w:val="0"/>
          <w:szCs w:val="24"/>
        </w:rPr>
        <w:t xml:space="preserve">（3）评标委员会成员对客观评审因素评分不一致的；</w:t>
      </w:r>
      <w:r/>
    </w:p>
    <w:p>
      <w:pPr>
        <w:ind w:firstLine="480"/>
        <w:spacing w:line="360" w:lineRule="auto"/>
        <w:rPr>
          <w:rFonts w:hint="eastAsia" w:hAnsi="宋体"/>
          <w:b w:val="0"/>
          <w:position w:val="0"/>
          <w:szCs w:val="24"/>
        </w:rPr>
      </w:pPr>
      <w:r>
        <w:rPr>
          <w:rFonts w:hint="eastAsia" w:hAnsi="宋体"/>
          <w:b w:val="0"/>
          <w:position w:val="0"/>
          <w:szCs w:val="24"/>
        </w:rPr>
        <w:t xml:space="preserve">（4）经评标委员会认定评分畸高、畸低的。</w:t>
      </w:r>
      <w:r/>
    </w:p>
    <w:p>
      <w:pPr>
        <w:ind w:firstLine="480"/>
        <w:spacing w:line="360" w:lineRule="auto"/>
        <w:rPr>
          <w:rFonts w:hint="eastAsia" w:hAnsi="宋体"/>
          <w:b w:val="0"/>
          <w:position w:val="0"/>
          <w:szCs w:val="24"/>
        </w:rPr>
      </w:pPr>
      <w:r>
        <w:rPr>
          <w:rFonts w:hint="eastAsia" w:hAnsi="宋体"/>
          <w:b w:val="0"/>
          <w:position w:val="0"/>
          <w:szCs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79" w:name="_Toc98669719"/>
      <w:r/>
      <w:bookmarkStart w:id="280" w:name="_Toc98669361"/>
      <w:r/>
      <w:bookmarkStart w:id="281" w:name="_Toc100386064"/>
      <w:r/>
      <w:bookmarkStart w:id="282" w:name="_Toc92168030"/>
      <w:r/>
      <w:bookmarkStart w:id="283" w:name="_Toc20732998"/>
      <w:r/>
      <w:bookmarkEnd w:id="279"/>
      <w:r/>
      <w:bookmarkEnd w:id="280"/>
      <w:r/>
      <w:bookmarkEnd w:id="281"/>
      <w:r/>
      <w:bookmarkEnd w:id="282"/>
      <w:r/>
      <w:bookmarkEnd w:id="283"/>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11.推荐中标候选人</w:t>
      </w:r>
      <w:r/>
    </w:p>
    <w:p>
      <w:pPr>
        <w:ind w:firstLine="420"/>
        <w:jc w:val="left"/>
        <w:spacing w:line="360" w:lineRule="auto"/>
        <w:widowControl/>
        <w:rPr>
          <w:rFonts w:hint="eastAsia" w:hAnsi="宋体"/>
          <w:b w:val="0"/>
          <w:position w:val="0"/>
          <w:szCs w:val="24"/>
        </w:rPr>
      </w:pPr>
      <w:r>
        <w:rPr>
          <w:rFonts w:ascii="Wingdings 2" w:hAnsi="Wingdings 2" w:eastAsia="Wingdings 2" w:cs="Wingdings 2"/>
          <w:b w:val="0"/>
          <w:position w:val="0"/>
          <w:szCs w:val="24"/>
        </w:rPr>
        <w:t xml:space="preserve">R</w:t>
      </w:r>
      <w:r>
        <w:rPr>
          <w:rFonts w:hint="eastAsia" w:hAnsi="宋体"/>
          <w:b w:val="0"/>
          <w:position w:val="0"/>
          <w:szCs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8200" w:leader="none"/>
        </w:tabs>
        <w:rPr>
          <w:rFonts w:hint="eastAsia" w:hAnsi="宋体" w:cs="宋体"/>
          <w:b w:val="0"/>
          <w:bCs/>
        </w:rPr>
      </w:pPr>
      <w:r>
        <w:rPr>
          <w:rFonts w:hint="eastAsia" w:hAnsi="宋体"/>
          <w:b w:val="0"/>
          <w:position w:val="0"/>
          <w:szCs w:val="24"/>
        </w:rPr>
        <w:t xml:space="preserve">□11.1采用最低评标价法的，评标结果按投标报价由低到高顺序排列。投标报价相同的并列。投标文件满足招标文件全部实质性要求且投标报价最低的投标人为排名第一的中标候选人。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78"/>
        <w:spacing w:line="360" w:lineRule="auto"/>
        <w:rPr>
          <w:rFonts w:hint="eastAsia" w:ascii="宋体" w:hAnsi="宋体" w:eastAsia="宋体" w:cs="宋体"/>
          <w:b/>
          <w:bCs/>
          <w:sz w:val="44"/>
          <w:szCs w:val="44"/>
        </w:rPr>
      </w:pPr>
      <w:r/>
      <w:bookmarkStart w:id="284" w:name="_Toc174468393"/>
      <w:r/>
      <w:bookmarkEnd w:id="272"/>
      <w:r/>
      <w:bookmarkEnd w:id="273"/>
      <w:r/>
      <w:bookmarkEnd w:id="274"/>
      <w:r/>
      <w:bookmarkEnd w:id="275"/>
      <w:r/>
      <w:bookmarkEnd w:id="276"/>
      <w:r/>
      <w:bookmarkEnd w:id="277"/>
      <w:r/>
      <w:bookmarkEnd w:id="278"/>
      <w:r>
        <w:rPr>
          <w:rFonts w:hint="eastAsia" w:ascii="宋体" w:hAnsi="宋体" w:eastAsia="宋体" w:cs="宋体"/>
          <w:b/>
          <w:bCs/>
          <w:sz w:val="44"/>
          <w:szCs w:val="44"/>
        </w:rPr>
        <w:t xml:space="preserve">第六章  投标文件参考格式</w:t>
      </w:r>
      <w:bookmarkEnd w:id="220"/>
      <w:r/>
      <w:bookmarkEnd w:id="221"/>
      <w:r/>
      <w:bookmarkEnd w:id="284"/>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格式八：业绩表</w:t>
      </w:r>
      <w:r/>
    </w:p>
    <w:p>
      <w:pPr>
        <w:spacing w:line="500" w:lineRule="exact"/>
        <w:rPr>
          <w:b w:val="0"/>
          <w:position w:val="0"/>
          <w:szCs w:val="24"/>
        </w:rPr>
      </w:pPr>
      <w:r>
        <w:rPr>
          <w:rFonts w:hint="eastAsia"/>
          <w:b w:val="0"/>
          <w:position w:val="0"/>
          <w:szCs w:val="24"/>
        </w:rPr>
        <w:t xml:space="preserve">格式九：中小企业声明函</w:t>
      </w:r>
      <w:r/>
    </w:p>
    <w:p>
      <w:pPr>
        <w:spacing w:line="360" w:lineRule="auto"/>
        <w:rPr>
          <w:b w:val="0"/>
          <w:position w:val="0"/>
          <w:szCs w:val="24"/>
        </w:rPr>
      </w:pPr>
      <w:r>
        <w:rPr>
          <w:rFonts w:hint="eastAsia"/>
          <w:b w:val="0"/>
          <w:position w:val="0"/>
          <w:szCs w:val="24"/>
        </w:rPr>
        <w:t xml:space="preserve">格式十：其他声明函</w:t>
      </w:r>
      <w:r/>
    </w:p>
    <w:p>
      <w:pPr>
        <w:spacing w:line="360" w:lineRule="auto"/>
        <w:rPr>
          <w:b w:val="0"/>
          <w:position w:val="0"/>
          <w:szCs w:val="24"/>
        </w:rPr>
      </w:pPr>
      <w:r>
        <w:rPr>
          <w:rFonts w:hint="eastAsia"/>
          <w:b w:val="0"/>
          <w:position w:val="0"/>
          <w:szCs w:val="24"/>
        </w:rPr>
        <w:t xml:space="preserve">格式十一：招标文件要求提供的其他材料或投标人认为需提供的材料</w:t>
      </w:r>
      <w:r/>
    </w:p>
    <w:p>
      <w:pPr>
        <w:pStyle w:val="100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格式十二：法定代表人授权书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1003"/>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（统一折扣率为：）</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统一折扣率</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ind w:left="0" w:right="0" w:firstLine="0"/>
        <w:jc w:val="both"/>
        <w:spacing w:before="0" w:after="120" w:line="71" w:lineRule="atLeast"/>
        <w:rPr>
          <w:rFonts w:hint="eastAsia"/>
          <w:b w:val="0"/>
          <w:bCs w:val="0"/>
          <w:position w:val="0"/>
        </w:rPr>
        <w:pBdr>
          <w:top w:val="none" w:color="000000" w:sz="4" w:space="0"/>
          <w:left w:val="none" w:color="000000" w:sz="4" w:space="0"/>
          <w:bottom w:val="none" w:color="000000" w:sz="4" w:space="0"/>
          <w:right w:val="none" w:color="000000" w:sz="4" w:space="0"/>
        </w:pBdr>
      </w:pPr>
      <w:r>
        <w:rPr>
          <w:rFonts w:hint="eastAsia"/>
          <w:b w:val="0"/>
          <w:position w:val="0"/>
          <w:szCs w:val="24"/>
        </w:rPr>
        <w:t xml:space="preserve">注：</w:t>
      </w:r>
      <w:r>
        <w:rPr>
          <w:rFonts w:ascii="SimSun" w:hAnsi="SimSun" w:eastAsia="SimSun" w:cs="SimSun"/>
          <w:sz w:val="24"/>
        </w:rPr>
      </w:r>
    </w:p>
    <w:p>
      <w:pPr>
        <w:ind w:left="0" w:right="0" w:firstLine="0"/>
        <w:jc w:val="both"/>
        <w:spacing w:before="0" w:after="120" w:line="71" w:lineRule="atLeast"/>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hint="eastAsia"/>
          <w:b w:val="0"/>
          <w:position w:val="0"/>
          <w:szCs w:val="24"/>
        </w:rPr>
      </w:r>
      <w:r>
        <w:rPr>
          <w:rFonts w:ascii="SimSun" w:hAnsi="SimSun" w:eastAsia="SimSun" w:cs="SimSun"/>
          <w:color w:val="000000"/>
          <w:sz w:val="24"/>
        </w:rPr>
        <w:t xml:space="preserve">1.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
    </w:p>
    <w:p>
      <w:pPr>
        <w:ind w:left="0" w:right="0" w:firstLine="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2.苏采云系统的“开标一览表”模版中所显示的“优惠率”即指本项目所报的“统一折扣率”，投标人直接填写即可。</w:t>
      </w:r>
      <w:r/>
    </w:p>
    <w:p>
      <w:pPr>
        <w:spacing w:after="120" w:line="300" w:lineRule="auto"/>
        <w:rPr>
          <w:b w:val="0"/>
          <w:bCs w:val="0"/>
          <w:position w:val="0"/>
        </w:rPr>
      </w:pPr>
      <w:r>
        <w:rPr>
          <w:rFonts w:hint="eastAsia"/>
          <w:b w:val="0"/>
          <w:position w:val="0"/>
          <w:szCs w:val="24"/>
        </w:rPr>
      </w: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244"/>
        <w:gridCol w:w="709"/>
        <w:gridCol w:w="850"/>
        <w:gridCol w:w="976"/>
        <w:gridCol w:w="1292"/>
        <w:gridCol w:w="1124"/>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名称</w:t>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Cs w:val="24"/>
              </w:rPr>
            </w:pPr>
            <w:r>
              <w:rPr>
                <w:rFonts w:hint="eastAsia"/>
                <w:b w:val="0"/>
                <w:position w:val="0"/>
                <w:szCs w:val="24"/>
              </w:rPr>
              <w:t xml:space="preserve">纯度</w:t>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Cs w:val="24"/>
              </w:rPr>
            </w:pPr>
            <w:r>
              <w:rPr>
                <w:rFonts w:hint="eastAsia"/>
                <w:b w:val="0"/>
                <w:position w:val="0"/>
                <w:szCs w:val="24"/>
              </w:rPr>
              <w:t xml:space="preserve">规格</w:t>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Cs w:val="24"/>
              </w:rPr>
            </w:pPr>
            <w:r>
              <w:rPr>
                <w:rFonts w:hint="eastAsia"/>
                <w:b w:val="0"/>
                <w:position w:val="0"/>
                <w:szCs w:val="24"/>
              </w:rPr>
              <w:t xml:space="preserve">年用量</w:t>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Cs w:val="24"/>
              </w:rPr>
            </w:pPr>
            <w:r>
              <w:rPr>
                <w:rFonts w:hint="eastAsia"/>
                <w:b w:val="0"/>
                <w:position w:val="0"/>
                <w:szCs w:val="24"/>
              </w:rPr>
              <w:t xml:space="preserve">单价限价</w:t>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Cs w:val="24"/>
              </w:rPr>
            </w:pPr>
            <w:r>
              <w:rPr>
                <w:rFonts w:hint="eastAsia"/>
                <w:b w:val="0"/>
                <w:position w:val="0"/>
                <w:szCs w:val="24"/>
              </w:rPr>
              <w:t xml:space="preserve">折扣率</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24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09"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92"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2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85"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85"/>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格式八：</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供货内容</w:t>
            </w:r>
            <w:r>
              <w:rPr>
                <w:rFonts w:hint="eastAsia" w:hAnsi="宋体"/>
                <w:b w:val="0"/>
                <w:position w:val="0"/>
                <w:szCs w:val="24"/>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格式九：中小企业声明函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1003"/>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1003"/>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1003"/>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1003"/>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100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1003"/>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100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100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100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100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1003"/>
        <w:rPr>
          <w:rFonts w:hint="eastAsia" w:hAnsi="宋体"/>
          <w:b w:val="0"/>
          <w:position w:val="0"/>
          <w:szCs w:val="24"/>
        </w:rPr>
      </w:pPr>
      <w:r>
        <w:rPr>
          <w:rFonts w:hint="eastAsia" w:hAnsi="宋体"/>
          <w:b w:val="0"/>
          <w:position w:val="0"/>
          <w:szCs w:val="24"/>
        </w:rPr>
      </w:r>
      <w:r/>
    </w:p>
    <w:p>
      <w:pPr>
        <w:pStyle w:val="1003"/>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86" w:name="_Toc476153619"/>
      <w:r>
        <w:rPr>
          <w:rFonts w:hint="eastAsia" w:ascii="仿宋" w:hAnsi="仿宋" w:eastAsia="仿宋"/>
          <w:sz w:val="30"/>
          <w:szCs w:val="30"/>
        </w:rPr>
        <w:t xml:space="preserve">中小企业划型标准</w:t>
      </w:r>
      <w:bookmarkEnd w:id="28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1003"/>
        <w:spacing w:before="240" w:line="360" w:lineRule="auto"/>
        <w:rPr>
          <w:rFonts w:hint="eastAsia" w:hAnsi="宋体"/>
          <w:position w:val="0"/>
          <w:sz w:val="20"/>
          <w:szCs w:val="20"/>
        </w:rPr>
      </w:pPr>
      <w:r>
        <w:rPr>
          <w:rStyle w:val="1042"/>
          <w:rFonts w:hint="eastAsia" w:ascii="宋体" w:hAnsi="宋体" w:cs="仿宋"/>
          <w:b/>
          <w:bCs w:val="0"/>
          <w:sz w:val="20"/>
          <w:szCs w:val="20"/>
        </w:rPr>
        <w:t xml:space="preserve">说明：上述标准参照《关于印发中小企业划型标准规定的通知》（工信部联企业</w:t>
      </w:r>
      <w:r>
        <w:rPr>
          <w:rStyle w:val="1042"/>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1003"/>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格式十：其他声明函</w:t>
      </w:r>
      <w:r/>
    </w:p>
    <w:p>
      <w:pPr>
        <w:pStyle w:val="1003"/>
      </w:pPr>
      <w:r/>
      <w:r/>
    </w:p>
    <w:p>
      <w:pPr>
        <w:ind w:left="100"/>
        <w:jc w:val="left"/>
        <w:spacing w:before="50" w:line="360" w:lineRule="auto"/>
        <w:rPr>
          <w:rFonts w:hint="eastAsia" w:hAnsi="宋体"/>
          <w:position w:val="0"/>
          <w:szCs w:val="24"/>
        </w:rPr>
        <w:outlineLvl w:val="2"/>
      </w:pPr>
      <w:r/>
      <w:bookmarkStart w:id="287" w:name="_Toc174468394"/>
      <w:r>
        <w:rPr>
          <w:rFonts w:hint="eastAsia" w:hAnsi="宋体"/>
          <w:position w:val="0"/>
          <w:szCs w:val="24"/>
        </w:rPr>
        <w:t xml:space="preserve">（一）残疾人福利性单位声明函格式</w:t>
      </w:r>
      <w:bookmarkEnd w:id="287"/>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88" w:name="_Toc174468395"/>
      <w:r>
        <w:rPr>
          <w:rFonts w:hint="eastAsia" w:hAnsi="宋体"/>
          <w:position w:val="0"/>
          <w:szCs w:val="24"/>
        </w:rPr>
        <w:t xml:space="preserve">（二）属于监狱企业的证明文件</w:t>
      </w:r>
      <w:bookmarkEnd w:id="288"/>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89" w:name="_Toc174468396"/>
      <w:r>
        <w:rPr>
          <w:rFonts w:hint="eastAsia" w:hAnsi="宋体"/>
          <w:position w:val="0"/>
          <w:szCs w:val="24"/>
        </w:rPr>
        <w:t xml:space="preserve">（三）节能产品认证文件</w:t>
      </w:r>
      <w:bookmarkEnd w:id="28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90" w:name="_Toc174468397"/>
      <w:r>
        <w:rPr>
          <w:rFonts w:hint="eastAsia" w:hAnsi="宋体"/>
          <w:position w:val="0"/>
          <w:szCs w:val="24"/>
        </w:rPr>
        <w:t xml:space="preserve">（四）环境标志产品认证文件</w:t>
      </w:r>
      <w:bookmarkEnd w:id="29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格式十一：招标文件要求提供的其他材料或投标人认为需提供的材料</w:t>
      </w:r>
      <w:r/>
    </w:p>
    <w:p>
      <w:pPr>
        <w:pStyle w:val="1003"/>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100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100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100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格式十二：</w:t>
      </w:r>
      <w:r/>
    </w:p>
    <w:p>
      <w:pPr>
        <w:ind w:right="-5"/>
        <w:jc w:val="center"/>
        <w:spacing w:line="500" w:lineRule="exact"/>
        <w:rPr>
          <w:b w:val="0"/>
          <w:position w:val="0"/>
          <w:szCs w:val="24"/>
        </w:rPr>
      </w:pPr>
      <w:r/>
      <w:bookmarkStart w:id="291" w:name="_Hlk142312257"/>
      <w:r>
        <w:rPr>
          <w:rFonts w:hint="eastAsia"/>
          <w:b w:val="0"/>
          <w:position w:val="0"/>
          <w:szCs w:val="24"/>
        </w:rPr>
        <w:t xml:space="preserve">法定代表人授权书</w:t>
      </w:r>
      <w:bookmarkEnd w:id="29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100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11</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p>
      <w:pPr>
        <w:pStyle w:val="1003"/>
        <w:rPr>
          <w:rFonts w:ascii="Times New Roman" w:eastAsia="黑体"/>
          <w:position w:val="0"/>
          <w:sz w:val="32"/>
          <w:szCs w:val="32"/>
        </w:rPr>
      </w:pPr>
      <w:r>
        <w:rPr>
          <w:rFonts w:ascii="Times New Roman" w:eastAsia="黑体"/>
          <w:position w:val="0"/>
          <w:sz w:val="32"/>
          <w:szCs w:val="32"/>
        </w:rPr>
      </w:r>
      <w:r/>
    </w:p>
    <w:p>
      <w:pPr>
        <w:numPr>
          <w:ilvl w:val="0"/>
          <w:numId w:val="10"/>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jc w:val="left"/>
        <w:widowControl/>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格式七</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资格承诺函</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致：    （采购人、采购代理机构）   </w:t>
      </w:r>
      <w:r/>
    </w:p>
    <w:p>
      <w:pPr>
        <w:ind w:right="-5"/>
        <w:spacing w:line="500" w:lineRule="exact"/>
        <w:rPr>
          <w:rFonts w:hint="eastAsia" w:hAnsi="宋体"/>
          <w:b w:val="0"/>
          <w:bCs/>
          <w:position w:val="0"/>
          <w:szCs w:val="24"/>
        </w:rPr>
      </w:pPr>
      <w:r>
        <w:rPr>
          <w:rFonts w:hint="eastAsia" w:hAnsi="宋体"/>
          <w:b w:val="0"/>
          <w:bCs/>
          <w:position w:val="0"/>
          <w:szCs w:val="24"/>
        </w:rPr>
        <w:t xml:space="preserve">我单位参与  （项目名称）  （项目编号：    ）项目的政府采购活动，现承诺如下：</w:t>
      </w:r>
      <w:r/>
    </w:p>
    <w:p>
      <w:pPr>
        <w:ind w:right="-5"/>
        <w:spacing w:line="500" w:lineRule="exact"/>
        <w:rPr>
          <w:rFonts w:hint="eastAsia" w:hAnsi="宋体"/>
          <w:b w:val="0"/>
          <w:bCs/>
          <w:position w:val="0"/>
          <w:szCs w:val="24"/>
        </w:rPr>
      </w:pPr>
      <w:r>
        <w:rPr>
          <w:rFonts w:hint="eastAsia" w:hAnsi="宋体"/>
          <w:b w:val="0"/>
          <w:bCs/>
          <w:position w:val="0"/>
          <w:szCs w:val="24"/>
        </w:rPr>
        <w:t xml:space="preserve">1.我方具有良好的商业信誉和健全的财务会计制度。</w:t>
      </w:r>
      <w:r/>
    </w:p>
    <w:p>
      <w:pPr>
        <w:ind w:right="-5"/>
        <w:spacing w:line="500" w:lineRule="exact"/>
        <w:rPr>
          <w:rFonts w:hint="eastAsia" w:hAnsi="宋体"/>
          <w:b w:val="0"/>
          <w:bCs/>
          <w:position w:val="0"/>
          <w:szCs w:val="24"/>
        </w:rPr>
      </w:pPr>
      <w:r>
        <w:rPr>
          <w:rFonts w:hint="eastAsia" w:hAnsi="宋体"/>
          <w:b w:val="0"/>
          <w:bCs/>
          <w:position w:val="0"/>
          <w:szCs w:val="24"/>
        </w:rPr>
        <w:t xml:space="preserve">2.我方具有履行合同所必需的设备和专业技术能力。</w:t>
      </w:r>
      <w:r/>
    </w:p>
    <w:p>
      <w:pPr>
        <w:ind w:right="-5"/>
        <w:spacing w:line="500" w:lineRule="exact"/>
        <w:rPr>
          <w:rFonts w:hint="eastAsia" w:hAnsi="宋体"/>
          <w:b w:val="0"/>
          <w:bCs/>
          <w:position w:val="0"/>
          <w:szCs w:val="24"/>
        </w:rPr>
      </w:pPr>
      <w:r>
        <w:rPr>
          <w:rFonts w:hint="eastAsia" w:hAnsi="宋体"/>
          <w:b w:val="0"/>
          <w:bCs/>
          <w:position w:val="0"/>
          <w:szCs w:val="24"/>
        </w:rPr>
        <w:t xml:space="preserve">3.我方具有依法缴纳税收和社会保障资金的良好记录。</w:t>
      </w:r>
      <w:r/>
    </w:p>
    <w:p>
      <w:pPr>
        <w:ind w:right="-5"/>
        <w:spacing w:line="500" w:lineRule="exact"/>
        <w:rPr>
          <w:rFonts w:hint="eastAsia" w:hAnsi="宋体"/>
          <w:b w:val="0"/>
          <w:bCs/>
          <w:position w:val="0"/>
          <w:szCs w:val="24"/>
        </w:rPr>
      </w:pPr>
      <w:r>
        <w:rPr>
          <w:rFonts w:hint="eastAsia" w:hAnsi="宋体"/>
          <w:b w:val="0"/>
          <w:bCs/>
          <w:position w:val="0"/>
          <w:szCs w:val="24"/>
        </w:rPr>
        <w:t xml:space="preserve">4.我方参加本项目采购活动前三年内，在经营活动中没有重大违法记录。</w:t>
      </w:r>
      <w:r/>
    </w:p>
    <w:p>
      <w:pPr>
        <w:ind w:right="-5"/>
        <w:spacing w:line="500" w:lineRule="exact"/>
        <w:rPr>
          <w:rFonts w:hint="eastAsia" w:hAnsi="宋体"/>
          <w:b w:val="0"/>
          <w:bCs/>
          <w:position w:val="0"/>
          <w:szCs w:val="24"/>
        </w:rPr>
      </w:pPr>
      <w:r>
        <w:rPr>
          <w:rFonts w:hint="eastAsia" w:hAnsi="宋体"/>
          <w:b w:val="0"/>
          <w:bCs/>
          <w:position w:val="0"/>
          <w:szCs w:val="24"/>
        </w:rPr>
        <w:t xml:space="preserve">若我单位承诺不实，自愿承担提供虚假材料谋取中标、成交的法律责任。</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投标（响应）供应商（全称并盖章）：         </w:t>
      </w:r>
      <w:r/>
    </w:p>
    <w:p>
      <w:pPr>
        <w:ind w:right="-5"/>
        <w:spacing w:line="500" w:lineRule="exact"/>
        <w:rPr>
          <w:rFonts w:hint="eastAsia" w:hAnsi="宋体"/>
          <w:b w:val="0"/>
          <w:bCs/>
          <w:position w:val="0"/>
          <w:szCs w:val="24"/>
        </w:rPr>
      </w:pPr>
      <w:r>
        <w:rPr>
          <w:rFonts w:hint="eastAsia" w:hAnsi="宋体"/>
          <w:b w:val="0"/>
          <w:bCs/>
          <w:position w:val="0"/>
          <w:szCs w:val="24"/>
        </w:rPr>
        <w:t xml:space="preserve">供应商法定代表人或授权代表（签字或签章）：    </w:t>
      </w:r>
      <w:r/>
    </w:p>
    <w:p>
      <w:pPr>
        <w:ind w:right="-5"/>
        <w:spacing w:line="500" w:lineRule="exact"/>
        <w:rPr>
          <w:rFonts w:hint="eastAsia" w:hAnsi="宋体"/>
          <w:b w:val="0"/>
          <w:bCs/>
          <w:position w:val="0"/>
          <w:szCs w:val="24"/>
        </w:rPr>
      </w:pPr>
      <w:r>
        <w:rPr>
          <w:rFonts w:hint="eastAsia" w:hAnsi="宋体"/>
          <w:b w:val="0"/>
          <w:bCs/>
          <w:position w:val="0"/>
          <w:szCs w:val="24"/>
        </w:rPr>
        <w:t xml:space="preserve">日期：     </w:t>
      </w:r>
      <w:r/>
    </w:p>
    <w:p>
      <w:pPr>
        <w:ind w:right="-5"/>
        <w:spacing w:line="500" w:lineRule="exact"/>
        <w:rPr>
          <w:rFonts w:hint="eastAsia" w:hAnsi="宋体"/>
          <w:b w:val="0"/>
          <w:bCs/>
          <w:position w:val="0"/>
          <w:szCs w:val="24"/>
        </w:rPr>
      </w:pPr>
      <w:r>
        <w:rPr>
          <w:rFonts w:hint="eastAsia" w:hAnsi="宋体"/>
          <w:b w:val="0"/>
          <w:bCs/>
          <w:position w:val="0"/>
          <w:szCs w:val="24"/>
        </w:rPr>
        <w:t xml:space="preserve">﹍﹍﹍﹍﹍﹍﹍﹍﹍﹍﹍﹍﹍﹍﹍﹍﹍﹍﹍﹍﹍﹍﹍﹍</w:t>
      </w:r>
      <w:r/>
    </w:p>
    <w:p>
      <w:pPr>
        <w:ind w:right="-5"/>
        <w:spacing w:line="500" w:lineRule="exact"/>
        <w:rPr>
          <w:rFonts w:hint="eastAsia" w:hAnsi="宋体"/>
          <w:b w:val="0"/>
          <w:bCs/>
          <w:position w:val="0"/>
          <w:szCs w:val="24"/>
        </w:rPr>
      </w:pPr>
      <w:r>
        <w:rPr>
          <w:rFonts w:hint="eastAsia" w:hAnsi="宋体"/>
          <w:b w:val="0"/>
          <w:bCs/>
          <w:position w:val="0"/>
          <w:szCs w:val="24"/>
        </w:rPr>
        <w:t xml:space="preserve">说明：1.供应商可自行选择是否提供本承诺函，若不提供本承诺函的，应按招标文件要求提供相应的证明材料。</w:t>
      </w:r>
      <w:r/>
    </w:p>
    <w:p>
      <w:pPr>
        <w:ind w:right="-5"/>
        <w:spacing w:line="500" w:lineRule="exact"/>
        <w:rPr>
          <w:rFonts w:ascii="Times New Roman"/>
          <w:position w:val="0"/>
          <w:sz w:val="21"/>
          <w:szCs w:val="24"/>
        </w:rPr>
      </w:pPr>
      <w:r>
        <w:rPr>
          <w:rFonts w:hint="eastAsia" w:hAnsi="宋体"/>
          <w:b w:val="0"/>
          <w:bCs/>
          <w:position w:val="0"/>
          <w:szCs w:val="24"/>
        </w:rPr>
        <w:t xml:space="preserve">2.供应商可删减承诺事项，删减的承诺事项须按招标文件要求提供相应的证明材料。比如删去本承诺函第3项的，则应按招标文件要求提供依法缴纳税收和社会保障资金的良好记录。</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格式八</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特定资格证明</w:t>
      </w:r>
      <w:r>
        <w:rPr>
          <w:rFonts w:hint="eastAsia"/>
          <w:b w:val="0"/>
          <w:position w:val="0"/>
          <w:szCs w:val="24"/>
        </w:rPr>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格式九                               其他要求</w:t>
      </w:r>
      <w:r/>
    </w:p>
    <w:p>
      <w:pPr>
        <w:jc w:val="left"/>
        <w:widowControl/>
        <w:rPr>
          <w:rFonts w:hint="eastAsia" w:hAnsi="宋体" w:cs="宋体"/>
          <w:b w:val="0"/>
          <w:bCs/>
          <w:szCs w:val="22"/>
        </w:rPr>
      </w:pPr>
      <w:r>
        <w:rPr>
          <w:rFonts w:hint="eastAsia" w:hAnsi="宋体" w:cs="宋体"/>
          <w:b w:val="0"/>
          <w:bCs/>
          <w:szCs w:val="22"/>
        </w:rPr>
        <w:br w:type="page" w:clear="all"/>
      </w:r>
      <w:r/>
    </w:p>
    <w:p>
      <w:pPr>
        <w:jc w:val="center"/>
        <w:rPr>
          <w:rFonts w:ascii="方正小标宋简体" w:eastAsia="方正小标宋简体"/>
          <w:b w:val="0"/>
          <w:position w:val="0"/>
          <w:sz w:val="44"/>
          <w:szCs w:val="44"/>
        </w:rPr>
      </w:pPr>
      <w:r>
        <w:rPr>
          <w:rFonts w:hint="eastAsia" w:ascii="方正小标宋简体" w:eastAsia="方正小标宋简体"/>
          <w:b w:val="0"/>
          <w:position w:val="0"/>
          <w:sz w:val="44"/>
          <w:szCs w:val="44"/>
        </w:rPr>
        <w:t xml:space="preserve">告供应商书</w:t>
      </w:r>
      <w:r/>
    </w:p>
    <w:p>
      <w:pPr>
        <w:spacing w:line="360" w:lineRule="auto"/>
        <w:rPr>
          <w:rFonts w:ascii="方正小标宋简体" w:eastAsia="方正小标宋简体"/>
          <w:b w:val="0"/>
          <w:position w:val="0"/>
          <w:sz w:val="44"/>
          <w:szCs w:val="44"/>
        </w:rPr>
      </w:pPr>
      <w:r>
        <w:rPr>
          <w:rFonts w:hint="eastAsia" w:ascii="仿宋_GB2312" w:hAnsi="仿宋" w:eastAsia="仿宋_GB2312"/>
          <w:b w:val="0"/>
          <w:position w:val="0"/>
          <w:sz w:val="32"/>
          <w:szCs w:val="32"/>
        </w:rPr>
        <w:t xml:space="preserve">中标（成交）供应商：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b w:val="0"/>
          <w:position w:val="0"/>
          <w:sz w:val="32"/>
          <w:szCs w:val="32"/>
        </w:rPr>
        <w:t xml:space="preserve">为您提供</w:t>
      </w:r>
      <w:r>
        <w:rPr>
          <w:rFonts w:hint="eastAsia" w:ascii="仿宋_GB2312" w:hAnsi="仿宋" w:eastAsia="仿宋_GB2312"/>
          <w:b w:val="0"/>
          <w:position w:val="0"/>
          <w:sz w:val="32"/>
          <w:szCs w:val="32"/>
        </w:rPr>
        <w:t xml:space="preserve">无抵押低息融资</w:t>
      </w:r>
      <w:r>
        <w:rPr>
          <w:rFonts w:ascii="仿宋_GB2312" w:hAnsi="仿宋" w:eastAsia="仿宋_GB2312"/>
          <w:b w:val="0"/>
          <w:position w:val="0"/>
          <w:sz w:val="32"/>
          <w:szCs w:val="32"/>
        </w:rPr>
        <w:t xml:space="preserve">便利</w:t>
      </w:r>
      <w:r>
        <w:rPr>
          <w:rFonts w:hint="eastAsia" w:ascii="仿宋_GB2312" w:hAnsi="仿宋" w:eastAsia="仿宋_GB2312"/>
          <w:b w:val="0"/>
          <w:position w:val="0"/>
          <w:sz w:val="32"/>
          <w:szCs w:val="32"/>
        </w:rPr>
        <w:t xml:space="preserve">。</w:t>
      </w:r>
      <w:r>
        <w:rPr>
          <w:rFonts w:ascii="仿宋_GB2312" w:hAnsi="仿宋" w:eastAsia="仿宋_GB2312"/>
          <w:b w:val="0"/>
          <w:position w:val="0"/>
          <w:sz w:val="32"/>
          <w:szCs w:val="32"/>
        </w:rPr>
        <w:t xml:space="preserve">具体业务流程可登录</w:t>
      </w:r>
      <w:r>
        <w:rPr>
          <w:rFonts w:hint="eastAsia" w:ascii="仿宋_GB2312" w:hAnsi="仿宋" w:eastAsia="仿宋_GB2312"/>
          <w:b w:val="0"/>
          <w:position w:val="0"/>
          <w:sz w:val="32"/>
          <w:szCs w:val="32"/>
        </w:rPr>
        <w:t xml:space="preserve">“江苏政府采购网</w:t>
      </w:r>
      <w:r>
        <w:rPr>
          <w:rFonts w:ascii="仿宋_GB2312" w:hAnsi="仿宋" w:eastAsia="仿宋_GB2312"/>
          <w:b w:val="0"/>
          <w:position w:val="0"/>
          <w:sz w:val="32"/>
          <w:szCs w:val="32"/>
        </w:rPr>
        <w:t xml:space="preserve">—</w:t>
      </w:r>
      <w:r>
        <w:rPr>
          <w:rFonts w:hint="eastAsia" w:ascii="仿宋_GB2312" w:hAnsi="仿宋" w:eastAsia="仿宋_GB2312"/>
          <w:b w:val="0"/>
          <w:position w:val="0"/>
          <w:sz w:val="32"/>
          <w:szCs w:val="32"/>
        </w:rPr>
        <w:t xml:space="preserve">政采贷”栏目（</w:t>
      </w:r>
      <w:r>
        <w:rPr>
          <w:rFonts w:ascii="仿宋_GB2312" w:hAnsi="仿宋" w:eastAsia="仿宋_GB2312"/>
          <w:b w:val="0"/>
          <w:position w:val="0"/>
          <w:sz w:val="32"/>
          <w:szCs w:val="32"/>
        </w:rPr>
        <w:t xml:space="preserve">http://www.ccgp-jiangsu.gov.cn/jiangsu/paying.html</w:t>
      </w:r>
      <w:r>
        <w:rPr>
          <w:rFonts w:hint="eastAsia" w:ascii="仿宋_GB2312" w:hAnsi="仿宋" w:eastAsia="仿宋_GB2312"/>
          <w:b w:val="0"/>
          <w:position w:val="0"/>
          <w:sz w:val="32"/>
          <w:szCs w:val="32"/>
        </w:rPr>
        <w:t xml:space="preserve">）查看并办理。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如您需要帮助，请致电镇江市财政局政府采购管理处，电话：0</w:t>
      </w:r>
      <w:r>
        <w:rPr>
          <w:rFonts w:ascii="仿宋_GB2312" w:hAnsi="仿宋" w:eastAsia="仿宋_GB2312"/>
          <w:b w:val="0"/>
          <w:position w:val="0"/>
          <w:sz w:val="32"/>
          <w:szCs w:val="32"/>
        </w:rPr>
        <w:t xml:space="preserve">511-80909958</w:t>
      </w:r>
      <w:r>
        <w:rPr>
          <w:rFonts w:hint="eastAsia" w:ascii="仿宋_GB2312" w:hAnsi="仿宋" w:eastAsia="仿宋_GB2312"/>
          <w:b w:val="0"/>
          <w:position w:val="0"/>
          <w:sz w:val="32"/>
          <w:szCs w:val="32"/>
        </w:rPr>
        <w:t xml:space="preserve">。我们将竭诚为您服务！</w:t>
      </w:r>
      <w:r/>
    </w:p>
    <w:p>
      <w:pPr>
        <w:ind w:right="160" w:firstLine="640"/>
        <w:jc w:val="right"/>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r>
      <w:r/>
    </w:p>
    <w:p>
      <w:pPr>
        <w:ind w:right="160" w:firstLine="640"/>
        <w:jc w:val="right"/>
        <w:rPr>
          <w:rFonts w:hint="eastAsia" w:ascii="仿宋_GB2312" w:hAnsi="仿宋" w:eastAsia="仿宋_GB2312"/>
          <w:b w:val="0"/>
          <w:position w:val="0"/>
          <w:sz w:val="32"/>
          <w:szCs w:val="32"/>
        </w:rPr>
      </w:pPr>
      <w:r>
        <w:rPr>
          <w:rFonts w:ascii="仿宋_GB2312" w:hAnsi="仿宋" w:eastAsia="仿宋_GB2312"/>
          <w:b w:val="0"/>
          <w:position w:val="0"/>
          <w:sz w:val="32"/>
          <w:szCs w:val="32"/>
        </w:rPr>
        <w:t xml:space="preserve">镇江市财政局</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楷体">
    <w:panose1 w:val="02010609060101010101"/>
  </w:font>
  <w:font w:name="Symbol">
    <w:panose1 w:val="05050102010706020507"/>
  </w:font>
  <w:font w:name="SimSun">
    <w:panose1 w:val="02010600030101010101"/>
  </w:font>
  <w:font w:name="隶书">
    <w:panose1 w:val="0201050906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Microsoft YaHei">
    <w:panose1 w:val="020B05030202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left="482"/>
      <w:jc w:val="center"/>
    </w:pPr>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2578100</wp:posOffset>
              </wp:positionH>
              <wp:positionV relativeFrom="paragraph">
                <wp:posOffset>-1270</wp:posOffset>
              </wp:positionV>
              <wp:extent cx="165100" cy="182245"/>
              <wp:effectExtent l="0" t="0" r="6350" b="825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65100" cy="182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3.0pt;mso-position-horizontal:absolute;mso-position-vertical-relative:text;margin-top:-0.1pt;mso-position-vertical:absolute;width:13.0pt;height:14.3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1017"/>
                          </w:p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1017"/>
                    </w:pPr>
                    <w:r/>
                    <w:r/>
                  </w:p>
                </w:txbxContent>
              </v:textbox>
            </v:shape>
          </w:pict>
        </mc:Fallback>
      </mc:AlternateContent>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17"/>
                                <w:ind w:left="482"/>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55"/>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17"/>
                          <w:ind w:left="482"/>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55"/>
                      <w:ind w:firstLine="420"/>
                    </w:pPr>
                    <w:r/>
                    <w:r/>
                  </w:p>
                </w:txbxContent>
              </v:textbox>
            </v:shape>
          </w:pict>
        </mc:Fallback>
      </mc:AlternateContent>
    </w:r>
    <w:r/>
  </w:p>
  <w:p>
    <w:pPr>
      <w:pStyle w:val="10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1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23"/>
      <w:isLgl w:val="false"/>
      <w:suff w:val="tab"/>
      <w:lvlText w:val="%1."/>
      <w:lvlJc w:val="left"/>
      <w:pPr>
        <w:ind w:left="425" w:hanging="425"/>
      </w:pPr>
    </w:lvl>
    <w:lvl w:ilvl="1">
      <w:start w:val="1"/>
      <w:numFmt w:val="decimal"/>
      <w:pStyle w:val="1425"/>
      <w:isLgl w:val="false"/>
      <w:suff w:val="tab"/>
      <w:lvlText w:val="%1.%2."/>
      <w:lvlJc w:val="left"/>
      <w:pPr>
        <w:ind w:left="567" w:hanging="567"/>
      </w:pPr>
    </w:lvl>
    <w:lvl w:ilvl="2">
      <w:start w:val="1"/>
      <w:numFmt w:val="decimal"/>
      <w:pStyle w:val="142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2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ascii="Times New Roman" w:hAnsi="Times New Roman" w:eastAsia="Times New Roman" w:cs="Times New Roman"/>
      </w:r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42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0"/>
  </w:num>
  <w:num w:numId="5">
    <w:abstractNumId w:val="7"/>
  </w:num>
  <w:num w:numId="6">
    <w:abstractNumId w:val="3"/>
  </w:num>
  <w:num w:numId="7">
    <w:abstractNumId w:val="8"/>
  </w:num>
  <w:num w:numId="8">
    <w:abstractNumId w:val="9"/>
  </w:num>
  <w:num w:numId="9">
    <w:abstractNumId w:val="2"/>
  </w:num>
  <w:num w:numId="10">
    <w:abstractNumId w:val="6"/>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1 Char"/>
    <w:basedOn w:val="987"/>
    <w:link w:val="978"/>
    <w:uiPriority w:val="9"/>
    <w:rPr>
      <w:rFonts w:ascii="Arial" w:hAnsi="Arial" w:eastAsia="Arial" w:cs="Arial"/>
      <w:sz w:val="40"/>
      <w:szCs w:val="40"/>
    </w:rPr>
  </w:style>
  <w:style w:type="character" w:styleId="833">
    <w:name w:val="Heading 2 Char"/>
    <w:basedOn w:val="987"/>
    <w:link w:val="979"/>
    <w:uiPriority w:val="9"/>
    <w:rPr>
      <w:rFonts w:ascii="Arial" w:hAnsi="Arial" w:eastAsia="Arial" w:cs="Arial"/>
      <w:sz w:val="34"/>
    </w:rPr>
  </w:style>
  <w:style w:type="character" w:styleId="834">
    <w:name w:val="Heading 3 Char"/>
    <w:basedOn w:val="987"/>
    <w:link w:val="980"/>
    <w:uiPriority w:val="9"/>
    <w:rPr>
      <w:rFonts w:ascii="Arial" w:hAnsi="Arial" w:eastAsia="Arial" w:cs="Arial"/>
      <w:sz w:val="30"/>
      <w:szCs w:val="30"/>
    </w:rPr>
  </w:style>
  <w:style w:type="character" w:styleId="835">
    <w:name w:val="Heading 4 Char"/>
    <w:basedOn w:val="987"/>
    <w:link w:val="981"/>
    <w:uiPriority w:val="9"/>
    <w:rPr>
      <w:rFonts w:ascii="Arial" w:hAnsi="Arial" w:eastAsia="Arial" w:cs="Arial"/>
      <w:b/>
      <w:bCs/>
      <w:sz w:val="26"/>
      <w:szCs w:val="26"/>
    </w:rPr>
  </w:style>
  <w:style w:type="character" w:styleId="836">
    <w:name w:val="Heading 5 Char"/>
    <w:basedOn w:val="987"/>
    <w:link w:val="982"/>
    <w:uiPriority w:val="9"/>
    <w:rPr>
      <w:rFonts w:ascii="Arial" w:hAnsi="Arial" w:eastAsia="Arial" w:cs="Arial"/>
      <w:b/>
      <w:bCs/>
      <w:sz w:val="24"/>
      <w:szCs w:val="24"/>
    </w:rPr>
  </w:style>
  <w:style w:type="character" w:styleId="837">
    <w:name w:val="Heading 6 Char"/>
    <w:basedOn w:val="987"/>
    <w:link w:val="983"/>
    <w:uiPriority w:val="9"/>
    <w:rPr>
      <w:rFonts w:ascii="Arial" w:hAnsi="Arial" w:eastAsia="Arial" w:cs="Arial"/>
      <w:b/>
      <w:bCs/>
      <w:sz w:val="22"/>
      <w:szCs w:val="22"/>
    </w:rPr>
  </w:style>
  <w:style w:type="character" w:styleId="838">
    <w:name w:val="Heading 7 Char"/>
    <w:basedOn w:val="987"/>
    <w:link w:val="984"/>
    <w:uiPriority w:val="9"/>
    <w:rPr>
      <w:rFonts w:ascii="Arial" w:hAnsi="Arial" w:eastAsia="Arial" w:cs="Arial"/>
      <w:b/>
      <w:bCs/>
      <w:i/>
      <w:iCs/>
      <w:sz w:val="22"/>
      <w:szCs w:val="22"/>
    </w:rPr>
  </w:style>
  <w:style w:type="character" w:styleId="839">
    <w:name w:val="Heading 8 Char"/>
    <w:basedOn w:val="987"/>
    <w:link w:val="985"/>
    <w:uiPriority w:val="9"/>
    <w:rPr>
      <w:rFonts w:ascii="Arial" w:hAnsi="Arial" w:eastAsia="Arial" w:cs="Arial"/>
      <w:i/>
      <w:iCs/>
      <w:sz w:val="22"/>
      <w:szCs w:val="22"/>
    </w:rPr>
  </w:style>
  <w:style w:type="character" w:styleId="840">
    <w:name w:val="Heading 9 Char"/>
    <w:basedOn w:val="987"/>
    <w:link w:val="986"/>
    <w:uiPriority w:val="9"/>
    <w:rPr>
      <w:rFonts w:ascii="Arial" w:hAnsi="Arial" w:eastAsia="Arial" w:cs="Arial"/>
      <w:i/>
      <w:iCs/>
      <w:sz w:val="21"/>
      <w:szCs w:val="21"/>
    </w:rPr>
  </w:style>
  <w:style w:type="character" w:styleId="841">
    <w:name w:val="Title Char"/>
    <w:basedOn w:val="987"/>
    <w:link w:val="1037"/>
    <w:uiPriority w:val="10"/>
    <w:rPr>
      <w:sz w:val="48"/>
      <w:szCs w:val="48"/>
    </w:rPr>
  </w:style>
  <w:style w:type="character" w:styleId="842">
    <w:name w:val="Subtitle Char"/>
    <w:basedOn w:val="987"/>
    <w:link w:val="1024"/>
    <w:uiPriority w:val="11"/>
    <w:rPr>
      <w:sz w:val="24"/>
      <w:szCs w:val="24"/>
    </w:rPr>
  </w:style>
  <w:style w:type="character" w:styleId="843">
    <w:name w:val="Quote Char"/>
    <w:link w:val="1131"/>
    <w:uiPriority w:val="29"/>
    <w:rPr>
      <w:i/>
    </w:rPr>
  </w:style>
  <w:style w:type="character" w:styleId="844">
    <w:name w:val="Intense Quote Char"/>
    <w:link w:val="1280"/>
    <w:uiPriority w:val="30"/>
    <w:rPr>
      <w:i/>
    </w:rPr>
  </w:style>
  <w:style w:type="character" w:styleId="845">
    <w:name w:val="Header Char"/>
    <w:basedOn w:val="987"/>
    <w:link w:val="1018"/>
    <w:uiPriority w:val="99"/>
  </w:style>
  <w:style w:type="character" w:styleId="846">
    <w:name w:val="Footer Char"/>
    <w:basedOn w:val="987"/>
    <w:link w:val="1017"/>
    <w:uiPriority w:val="99"/>
  </w:style>
  <w:style w:type="paragraph" w:styleId="847">
    <w:name w:val="Caption"/>
    <w:basedOn w:val="977"/>
    <w:next w:val="977"/>
    <w:uiPriority w:val="35"/>
    <w:semiHidden/>
    <w:unhideWhenUsed/>
    <w:qFormat/>
    <w:pPr>
      <w:spacing w:line="276" w:lineRule="auto"/>
    </w:pPr>
    <w:rPr>
      <w:b/>
      <w:bCs/>
      <w:color w:val="4f81bd" w:themeColor="accent1"/>
      <w:sz w:val="18"/>
      <w:szCs w:val="18"/>
    </w:rPr>
  </w:style>
  <w:style w:type="character" w:styleId="848">
    <w:name w:val="Caption Char"/>
    <w:basedOn w:val="847"/>
    <w:link w:val="1017"/>
    <w:uiPriority w:val="99"/>
  </w:style>
  <w:style w:type="table" w:styleId="849">
    <w:name w:val="Table Grid Light"/>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5">
    <w:name w:val="Grid Table 5 Dark - Accent 2"/>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6">
    <w:name w:val="Grid Table 5 Dark - Accent 3"/>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7">
    <w:name w:val="Grid Table 5 Dark- Accent 4"/>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8">
    <w:name w:val="Grid Table 5 Dark - Accent 5"/>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9">
    <w:name w:val="Grid Table 5 Dark - Accent 6"/>
    <w:basedOn w:val="9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0">
    <w:name w:val="Grid Table 6 Colorful"/>
    <w:basedOn w:val="9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7">
    <w:name w:val="Grid Table 7 Colorful"/>
    <w:basedOn w:val="9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8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8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0">
    <w:name w:val="List Table 3 - Accent 2"/>
    <w:basedOn w:val="9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1">
    <w:name w:val="List Table 3 - Accent 3"/>
    <w:basedOn w:val="9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2">
    <w:name w:val="List Table 3 - Accent 4"/>
    <w:basedOn w:val="9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3">
    <w:name w:val="List Table 3 - Accent 5"/>
    <w:basedOn w:val="9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4">
    <w:name w:val="List Table 3 - Accent 6"/>
    <w:basedOn w:val="9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5">
    <w:name w:val="List Table 4"/>
    <w:basedOn w:val="9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7">
    <w:name w:val="List Table 4 - Accent 2"/>
    <w:basedOn w:val="9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8">
    <w:name w:val="List Table 4 - Accent 3"/>
    <w:basedOn w:val="9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9">
    <w:name w:val="List Table 4 - Accent 4"/>
    <w:basedOn w:val="9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0">
    <w:name w:val="List Table 4 - Accent 5"/>
    <w:basedOn w:val="9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1">
    <w:name w:val="List Table 4 - Accent 6"/>
    <w:basedOn w:val="9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2">
    <w:name w:val="List Table 5 Dark"/>
    <w:basedOn w:val="9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1">
    <w:name w:val="List Table 6 Colorful - Accent 2"/>
    <w:basedOn w:val="9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2">
    <w:name w:val="List Table 6 Colorful - Accent 3"/>
    <w:basedOn w:val="9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3">
    <w:name w:val="List Table 6 Colorful - Accent 4"/>
    <w:basedOn w:val="9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4">
    <w:name w:val="List Table 6 Colorful - Accent 5"/>
    <w:basedOn w:val="9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5">
    <w:name w:val="List Table 6 Colorful - Accent 6"/>
    <w:basedOn w:val="9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6">
    <w:name w:val="List Table 7 Colorful"/>
    <w:basedOn w:val="9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8">
    <w:name w:val="List Table 7 Colorful - Accent 2"/>
    <w:basedOn w:val="9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9">
    <w:name w:val="List Table 7 Colorful - Accent 3"/>
    <w:basedOn w:val="9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0">
    <w:name w:val="List Table 7 Colorful - Accent 4"/>
    <w:basedOn w:val="9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1">
    <w:name w:val="List Table 7 Colorful - Accent 5"/>
    <w:basedOn w:val="9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2">
    <w:name w:val="List Table 7 Colorful - Accent 6"/>
    <w:basedOn w:val="9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3">
    <w:name w:val="Lined - Accent"/>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5">
    <w:name w:val="Lined - Accent 2"/>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6">
    <w:name w:val="Lined - Accent 3"/>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7">
    <w:name w:val="Lined - Accent 4"/>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8">
    <w:name w:val="Lined - Accent 5"/>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9">
    <w:name w:val="Lined - Accent 6"/>
    <w:basedOn w:val="9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0">
    <w:name w:val="Bordered &amp; Lined - Accent"/>
    <w:basedOn w:val="9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2">
    <w:name w:val="Bordered &amp; Lined - Accent 2"/>
    <w:basedOn w:val="9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3">
    <w:name w:val="Bordered &amp; Lined - Accent 3"/>
    <w:basedOn w:val="9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4">
    <w:name w:val="Bordered &amp; Lined - Accent 4"/>
    <w:basedOn w:val="9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5">
    <w:name w:val="Bordered &amp; Lined - Accent 5"/>
    <w:basedOn w:val="9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6">
    <w:name w:val="Bordered &amp; Lined - Accent 6"/>
    <w:basedOn w:val="9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7">
    <w:name w:val="Bordered"/>
    <w:basedOn w:val="9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Footnote Text Char"/>
    <w:link w:val="1025"/>
    <w:uiPriority w:val="99"/>
    <w:rPr>
      <w:sz w:val="18"/>
    </w:rPr>
  </w:style>
  <w:style w:type="character" w:styleId="975">
    <w:name w:val="Endnote Text Char"/>
    <w:link w:val="1015"/>
    <w:uiPriority w:val="99"/>
    <w:rPr>
      <w:sz w:val="20"/>
    </w:rPr>
  </w:style>
  <w:style w:type="paragraph" w:styleId="976">
    <w:name w:val="TOC Heading"/>
    <w:uiPriority w:val="39"/>
    <w:unhideWhenUsed/>
  </w:style>
  <w:style w:type="paragraph" w:styleId="977" w:default="1">
    <w:name w:val="Normal"/>
    <w:qFormat/>
    <w:pPr>
      <w:jc w:val="both"/>
      <w:widowControl w:val="off"/>
    </w:pPr>
    <w:rPr>
      <w:rFonts w:ascii="宋体"/>
      <w:b/>
      <w:position w:val="-10"/>
      <w:sz w:val="24"/>
    </w:rPr>
  </w:style>
  <w:style w:type="paragraph" w:styleId="978">
    <w:name w:val="Heading 1"/>
    <w:basedOn w:val="977"/>
    <w:next w:val="977"/>
    <w:link w:val="1053"/>
    <w:qFormat/>
    <w:pPr>
      <w:jc w:val="center"/>
      <w:keepNext/>
      <w:outlineLvl w:val="0"/>
    </w:pPr>
    <w:rPr>
      <w:rFonts w:ascii="楷体_GB2312" w:eastAsia="楷体_GB2312"/>
      <w:b w:val="0"/>
      <w:position w:val="0"/>
      <w:sz w:val="28"/>
      <w:szCs w:val="28"/>
    </w:rPr>
  </w:style>
  <w:style w:type="paragraph" w:styleId="979">
    <w:name w:val="Heading 2"/>
    <w:basedOn w:val="977"/>
    <w:next w:val="990"/>
    <w:link w:val="1057"/>
    <w:qFormat/>
    <w:pPr>
      <w:jc w:val="center"/>
      <w:keepLines/>
      <w:keepNext/>
      <w:spacing w:before="260" w:after="260" w:line="416" w:lineRule="auto"/>
      <w:outlineLvl w:val="1"/>
    </w:pPr>
    <w:rPr>
      <w:rFonts w:ascii="Arial" w:hAnsi="Arial" w:eastAsia="幼圆"/>
      <w:b w:val="0"/>
      <w:bCs/>
      <w:sz w:val="44"/>
      <w:szCs w:val="44"/>
    </w:rPr>
  </w:style>
  <w:style w:type="paragraph" w:styleId="980">
    <w:name w:val="Heading 3"/>
    <w:basedOn w:val="977"/>
    <w:next w:val="990"/>
    <w:link w:val="1058"/>
    <w:qFormat/>
    <w:pPr>
      <w:keepLines/>
      <w:keepNext/>
      <w:spacing w:before="260" w:after="260" w:line="416" w:lineRule="auto"/>
      <w:outlineLvl w:val="2"/>
    </w:pPr>
    <w:rPr>
      <w:rFonts w:ascii="Times New Roman"/>
      <w:b w:val="0"/>
      <w:bCs/>
      <w:sz w:val="32"/>
      <w:szCs w:val="32"/>
    </w:rPr>
  </w:style>
  <w:style w:type="paragraph" w:styleId="981">
    <w:name w:val="Heading 4"/>
    <w:basedOn w:val="977"/>
    <w:next w:val="990"/>
    <w:link w:val="1059"/>
    <w:qFormat/>
    <w:pPr>
      <w:keepLines/>
      <w:keepNext/>
      <w:spacing w:before="280" w:after="290" w:line="376" w:lineRule="auto"/>
      <w:outlineLvl w:val="3"/>
    </w:pPr>
    <w:rPr>
      <w:rFonts w:ascii="Arial" w:hAnsi="Arial" w:eastAsia="黑体"/>
      <w:b w:val="0"/>
      <w:bCs/>
      <w:sz w:val="28"/>
      <w:szCs w:val="28"/>
    </w:rPr>
  </w:style>
  <w:style w:type="paragraph" w:styleId="982">
    <w:name w:val="Heading 5"/>
    <w:basedOn w:val="977"/>
    <w:next w:val="990"/>
    <w:link w:val="1060"/>
    <w:qFormat/>
    <w:pPr>
      <w:keepNext/>
      <w:outlineLvl w:val="4"/>
    </w:pPr>
    <w:rPr>
      <w:rFonts w:ascii="黑体" w:eastAsia="黑体"/>
      <w:color w:val="000000"/>
      <w:position w:val="0"/>
      <w:sz w:val="28"/>
    </w:rPr>
  </w:style>
  <w:style w:type="paragraph" w:styleId="983">
    <w:name w:val="Heading 6"/>
    <w:basedOn w:val="977"/>
    <w:next w:val="977"/>
    <w:link w:val="1061"/>
    <w:qFormat/>
    <w:pPr>
      <w:keepLines/>
      <w:keepNext/>
      <w:spacing w:before="240" w:after="64" w:line="320" w:lineRule="auto"/>
      <w:outlineLvl w:val="5"/>
    </w:pPr>
    <w:rPr>
      <w:rFonts w:ascii="Arial" w:hAnsi="Arial" w:eastAsia="黑体"/>
      <w:bCs/>
      <w:position w:val="0"/>
      <w:szCs w:val="24"/>
    </w:rPr>
  </w:style>
  <w:style w:type="paragraph" w:styleId="984">
    <w:name w:val="Heading 7"/>
    <w:basedOn w:val="977"/>
    <w:next w:val="977"/>
    <w:link w:val="1062"/>
    <w:qFormat/>
    <w:pPr>
      <w:keepLines/>
      <w:keepNext/>
      <w:spacing w:before="240" w:after="64" w:line="320" w:lineRule="auto"/>
      <w:outlineLvl w:val="6"/>
    </w:pPr>
    <w:rPr>
      <w:rFonts w:ascii="Times New Roman"/>
      <w:bCs/>
      <w:position w:val="0"/>
      <w:szCs w:val="24"/>
    </w:rPr>
  </w:style>
  <w:style w:type="paragraph" w:styleId="985">
    <w:name w:val="Heading 8"/>
    <w:basedOn w:val="977"/>
    <w:next w:val="977"/>
    <w:link w:val="1063"/>
    <w:qFormat/>
    <w:pPr>
      <w:keepLines/>
      <w:keepNext/>
      <w:spacing w:before="240" w:after="64" w:line="320" w:lineRule="auto"/>
      <w:outlineLvl w:val="7"/>
    </w:pPr>
    <w:rPr>
      <w:rFonts w:ascii="Arial" w:hAnsi="Arial" w:eastAsia="黑体"/>
      <w:b w:val="0"/>
      <w:position w:val="0"/>
      <w:szCs w:val="24"/>
    </w:rPr>
  </w:style>
  <w:style w:type="paragraph" w:styleId="986">
    <w:name w:val="Heading 9"/>
    <w:basedOn w:val="977"/>
    <w:next w:val="977"/>
    <w:link w:val="1064"/>
    <w:qFormat/>
    <w:pPr>
      <w:keepLines/>
      <w:keepNext/>
      <w:spacing w:before="240" w:after="64" w:line="320" w:lineRule="auto"/>
      <w:outlineLvl w:val="8"/>
    </w:pPr>
    <w:rPr>
      <w:rFonts w:ascii="Arial" w:hAnsi="Arial" w:eastAsia="黑体"/>
      <w:b w:val="0"/>
      <w:position w:val="0"/>
      <w:sz w:val="21"/>
      <w:szCs w:val="21"/>
    </w:rPr>
  </w:style>
  <w:style w:type="character" w:styleId="987" w:default="1">
    <w:name w:val="Default Paragraph Font"/>
    <w:uiPriority w:val="1"/>
    <w:semiHidden/>
    <w:unhideWhenUsed/>
  </w:style>
  <w:style w:type="table" w:styleId="988" w:default="1">
    <w:name w:val="Normal Table"/>
    <w:uiPriority w:val="99"/>
    <w:semiHidden/>
    <w:unhideWhenUsed/>
    <w:tblPr>
      <w:tblInd w:w="0" w:type="dxa"/>
      <w:tblCellMar>
        <w:left w:w="108" w:type="dxa"/>
        <w:top w:w="0" w:type="dxa"/>
        <w:right w:w="108" w:type="dxa"/>
        <w:bottom w:w="0" w:type="dxa"/>
      </w:tblCellMar>
    </w:tblPr>
  </w:style>
  <w:style w:type="numbering" w:styleId="989" w:default="1">
    <w:name w:val="No List"/>
    <w:uiPriority w:val="99"/>
    <w:semiHidden/>
    <w:unhideWhenUsed/>
  </w:style>
  <w:style w:type="paragraph" w:styleId="990">
    <w:name w:val="Normal Indent"/>
    <w:basedOn w:val="977"/>
    <w:qFormat/>
    <w:pPr>
      <w:ind w:firstLine="420"/>
    </w:pPr>
    <w:rPr>
      <w:rFonts w:ascii="Times New Roman"/>
    </w:rPr>
  </w:style>
  <w:style w:type="paragraph" w:styleId="991">
    <w:name w:val="List 3"/>
    <w:basedOn w:val="977"/>
    <w:qFormat/>
    <w:pPr>
      <w:ind w:left="1260" w:hanging="420"/>
    </w:pPr>
    <w:rPr>
      <w:rFonts w:ascii="Calibri" w:hAnsi="Calibri" w:eastAsia="Calibri" w:cs="宋体"/>
      <w:b w:val="0"/>
      <w:position w:val="0"/>
      <w:sz w:val="20"/>
      <w:lang w:val="zh-CN"/>
    </w:rPr>
  </w:style>
  <w:style w:type="paragraph" w:styleId="992">
    <w:name w:val="toc 7"/>
    <w:basedOn w:val="977"/>
    <w:next w:val="977"/>
    <w:qFormat/>
    <w:pPr>
      <w:ind w:left="1260"/>
      <w:jc w:val="left"/>
    </w:pPr>
    <w:rPr>
      <w:rFonts w:ascii="Calibri" w:hAnsi="Calibri" w:eastAsia="Calibri" w:cs="宋体"/>
      <w:b w:val="0"/>
      <w:position w:val="0"/>
      <w:sz w:val="18"/>
      <w:lang w:val="zh-CN"/>
    </w:rPr>
  </w:style>
  <w:style w:type="paragraph" w:styleId="993">
    <w:name w:val="List Number 2"/>
    <w:basedOn w:val="97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94">
    <w:name w:val="index 8"/>
    <w:basedOn w:val="977"/>
    <w:next w:val="977"/>
    <w:qFormat/>
    <w:pPr>
      <w:ind w:left="2940"/>
    </w:pPr>
    <w:rPr>
      <w:rFonts w:ascii="Calibri" w:hAnsi="Calibri" w:eastAsia="Calibri" w:cs="宋体"/>
      <w:b w:val="0"/>
      <w:position w:val="0"/>
      <w:sz w:val="20"/>
      <w:lang w:val="zh-CN"/>
    </w:rPr>
  </w:style>
  <w:style w:type="paragraph" w:styleId="995">
    <w:name w:val="List Number"/>
    <w:basedOn w:val="977"/>
    <w:qFormat/>
    <w:pPr>
      <w:ind w:left="2952" w:hanging="432"/>
      <w:tabs>
        <w:tab w:val="left" w:pos="2952" w:leader="none"/>
      </w:tabs>
    </w:pPr>
    <w:rPr>
      <w:rFonts w:ascii="Calibri" w:hAnsi="Calibri" w:eastAsia="Calibri" w:cs="宋体"/>
      <w:b w:val="0"/>
      <w:position w:val="0"/>
      <w:sz w:val="20"/>
      <w:szCs w:val="24"/>
      <w:lang w:val="zh-CN"/>
    </w:rPr>
  </w:style>
  <w:style w:type="paragraph" w:styleId="996">
    <w:name w:val="index 5"/>
    <w:basedOn w:val="977"/>
    <w:next w:val="977"/>
    <w:qFormat/>
    <w:pPr>
      <w:ind w:left="1680"/>
    </w:pPr>
    <w:rPr>
      <w:rFonts w:ascii="Calibri" w:hAnsi="Calibri" w:eastAsia="Calibri" w:cs="宋体"/>
      <w:b w:val="0"/>
      <w:position w:val="0"/>
      <w:sz w:val="20"/>
      <w:lang w:val="zh-CN"/>
    </w:rPr>
  </w:style>
  <w:style w:type="paragraph" w:styleId="997">
    <w:name w:val="List Bullet"/>
    <w:basedOn w:val="977"/>
    <w:qFormat/>
    <w:pPr>
      <w:ind w:left="360" w:hanging="360"/>
      <w:tabs>
        <w:tab w:val="left" w:pos="360" w:leader="none"/>
      </w:tabs>
    </w:pPr>
    <w:rPr>
      <w:rFonts w:ascii="Times New Roman"/>
      <w:szCs w:val="24"/>
    </w:rPr>
  </w:style>
  <w:style w:type="paragraph" w:styleId="998">
    <w:name w:val="Document Map"/>
    <w:basedOn w:val="977"/>
    <w:link w:val="1065"/>
    <w:qFormat/>
    <w:pPr>
      <w:shd w:val="clear" w:color="auto" w:fill="000080"/>
    </w:pPr>
    <w:rPr>
      <w:rFonts w:ascii="Times New Roman"/>
    </w:rPr>
  </w:style>
  <w:style w:type="paragraph" w:styleId="999">
    <w:name w:val="annotation text"/>
    <w:basedOn w:val="977"/>
    <w:link w:val="1066"/>
    <w:qFormat/>
    <w:pPr>
      <w:jc w:val="left"/>
    </w:pPr>
    <w:rPr>
      <w:rFonts w:ascii="Times New Roman" w:eastAsia="仿宋_GB2312"/>
      <w:b w:val="0"/>
      <w:position w:val="0"/>
    </w:rPr>
  </w:style>
  <w:style w:type="paragraph" w:styleId="1000">
    <w:name w:val="index 6"/>
    <w:basedOn w:val="977"/>
    <w:next w:val="977"/>
    <w:qFormat/>
    <w:pPr>
      <w:ind w:left="2100"/>
    </w:pPr>
    <w:rPr>
      <w:rFonts w:ascii="Calibri" w:hAnsi="Calibri" w:eastAsia="Calibri" w:cs="宋体"/>
      <w:b w:val="0"/>
      <w:position w:val="0"/>
      <w:sz w:val="20"/>
      <w:lang w:val="zh-CN"/>
    </w:rPr>
  </w:style>
  <w:style w:type="paragraph" w:styleId="1001">
    <w:name w:val="Salutation"/>
    <w:basedOn w:val="977"/>
    <w:next w:val="977"/>
    <w:link w:val="1067"/>
    <w:qFormat/>
    <w:rPr>
      <w:rFonts w:ascii="仿宋_GB2312" w:hAnsi="Calibri" w:eastAsia="仿宋_GB2312"/>
      <w:b w:val="0"/>
      <w:position w:val="0"/>
      <w:sz w:val="28"/>
      <w:lang w:val="zh-CN"/>
    </w:rPr>
  </w:style>
  <w:style w:type="paragraph" w:styleId="1002">
    <w:name w:val="Body Text 3"/>
    <w:basedOn w:val="977"/>
    <w:link w:val="1068"/>
    <w:qFormat/>
    <w:rPr>
      <w:rFonts w:ascii="仿宋_GB2312" w:hAnsi="Arial" w:eastAsia="仿宋_GB2312"/>
      <w:b w:val="0"/>
      <w:position w:val="0"/>
      <w:sz w:val="32"/>
      <w:lang w:val="zh-CN"/>
    </w:rPr>
  </w:style>
  <w:style w:type="paragraph" w:styleId="1003">
    <w:name w:val="Body Text"/>
    <w:basedOn w:val="977"/>
    <w:link w:val="1056"/>
    <w:qFormat/>
    <w:rPr>
      <w:rFonts w:ascii="楷体_GB2312" w:hAnsi="Arial" w:eastAsia="楷体_GB2312"/>
      <w:sz w:val="28"/>
      <w:szCs w:val="28"/>
    </w:rPr>
  </w:style>
  <w:style w:type="paragraph" w:styleId="1004">
    <w:name w:val="Body Text Indent"/>
    <w:basedOn w:val="977"/>
    <w:link w:val="1069"/>
    <w:qFormat/>
    <w:pPr>
      <w:ind w:left="420"/>
      <w:spacing w:after="120"/>
    </w:pPr>
    <w:rPr>
      <w:rFonts w:ascii="Times New Roman"/>
    </w:rPr>
  </w:style>
  <w:style w:type="paragraph" w:styleId="1005">
    <w:name w:val="List 2"/>
    <w:basedOn w:val="977"/>
    <w:semiHidden/>
    <w:unhideWhenUsed/>
    <w:qFormat/>
    <w:pPr>
      <w:contextualSpacing/>
      <w:ind w:left="100" w:hanging="200"/>
    </w:pPr>
  </w:style>
  <w:style w:type="paragraph" w:styleId="1006">
    <w:name w:val="Block Text"/>
    <w:basedOn w:val="977"/>
    <w:qFormat/>
    <w:pPr>
      <w:ind w:left="735" w:right="-332" w:hanging="46"/>
      <w:spacing w:line="360" w:lineRule="auto"/>
    </w:pPr>
    <w:rPr>
      <w:b w:val="0"/>
      <w:bCs/>
      <w:color w:val="000000"/>
      <w:position w:val="0"/>
    </w:rPr>
  </w:style>
  <w:style w:type="paragraph" w:styleId="1007">
    <w:name w:val="index 4"/>
    <w:basedOn w:val="977"/>
    <w:next w:val="977"/>
    <w:uiPriority w:val="99"/>
    <w:unhideWhenUsed/>
    <w:qFormat/>
    <w:pPr>
      <w:ind w:left="600"/>
    </w:pPr>
  </w:style>
  <w:style w:type="paragraph" w:styleId="1008">
    <w:name w:val="toc 5"/>
    <w:basedOn w:val="977"/>
    <w:next w:val="977"/>
    <w:qFormat/>
    <w:pPr>
      <w:ind w:left="840"/>
      <w:jc w:val="left"/>
    </w:pPr>
    <w:rPr>
      <w:rFonts w:ascii="Calibri" w:hAnsi="Calibri" w:eastAsia="Calibri" w:cs="宋体"/>
      <w:b w:val="0"/>
      <w:position w:val="0"/>
      <w:sz w:val="18"/>
      <w:lang w:val="zh-CN"/>
    </w:rPr>
  </w:style>
  <w:style w:type="paragraph" w:styleId="1009">
    <w:name w:val="toc 3"/>
    <w:basedOn w:val="977"/>
    <w:next w:val="977"/>
    <w:uiPriority w:val="39"/>
    <w:qFormat/>
    <w:pPr>
      <w:ind w:left="840"/>
    </w:pPr>
    <w:rPr>
      <w:rFonts w:ascii="Times New Roman"/>
    </w:rPr>
  </w:style>
  <w:style w:type="paragraph" w:styleId="1010">
    <w:name w:val="Plain Text"/>
    <w:basedOn w:val="977"/>
    <w:link w:val="1070"/>
    <w:qFormat/>
    <w:rPr>
      <w:rFonts w:hAnsi="Courier New" w:cs="Courier New"/>
      <w:b w:val="0"/>
      <w:position w:val="0"/>
      <w:sz w:val="21"/>
      <w:szCs w:val="21"/>
    </w:rPr>
  </w:style>
  <w:style w:type="paragraph" w:styleId="1011">
    <w:name w:val="toc 8"/>
    <w:basedOn w:val="977"/>
    <w:next w:val="977"/>
    <w:qFormat/>
    <w:pPr>
      <w:ind w:left="1470"/>
      <w:jc w:val="left"/>
    </w:pPr>
    <w:rPr>
      <w:rFonts w:ascii="Calibri" w:hAnsi="Calibri" w:eastAsia="Calibri" w:cs="宋体"/>
      <w:b w:val="0"/>
      <w:position w:val="0"/>
      <w:sz w:val="18"/>
      <w:lang w:val="zh-CN"/>
    </w:rPr>
  </w:style>
  <w:style w:type="paragraph" w:styleId="1012">
    <w:name w:val="index 3"/>
    <w:basedOn w:val="977"/>
    <w:next w:val="977"/>
    <w:qFormat/>
    <w:pPr>
      <w:ind w:left="840"/>
    </w:pPr>
    <w:rPr>
      <w:rFonts w:ascii="Calibri" w:hAnsi="Calibri" w:eastAsia="Calibri" w:cs="宋体"/>
      <w:b w:val="0"/>
      <w:position w:val="0"/>
      <w:sz w:val="20"/>
      <w:lang w:val="zh-CN"/>
    </w:rPr>
  </w:style>
  <w:style w:type="paragraph" w:styleId="1013">
    <w:name w:val="Date"/>
    <w:basedOn w:val="977"/>
    <w:next w:val="977"/>
    <w:link w:val="1413"/>
    <w:qFormat/>
    <w:rPr>
      <w:rFonts w:ascii="Times New Roman"/>
      <w:szCs w:val="24"/>
    </w:rPr>
  </w:style>
  <w:style w:type="paragraph" w:styleId="1014">
    <w:name w:val="Body Text Indent 2"/>
    <w:basedOn w:val="977"/>
    <w:link w:val="1071"/>
    <w:qFormat/>
    <w:pPr>
      <w:ind w:left="630" w:firstLine="645"/>
    </w:pPr>
    <w:rPr>
      <w:rFonts w:ascii="Arial" w:hAnsi="Arial" w:eastAsia="仿宋_GB2312"/>
      <w:b w:val="0"/>
      <w:position w:val="0"/>
      <w:sz w:val="32"/>
    </w:rPr>
  </w:style>
  <w:style w:type="paragraph" w:styleId="1015">
    <w:name w:val="endnote text"/>
    <w:basedOn w:val="977"/>
    <w:link w:val="1072"/>
    <w:qFormat/>
    <w:pPr>
      <w:jc w:val="left"/>
    </w:pPr>
    <w:rPr>
      <w:rFonts w:ascii="Calibri" w:hAnsi="Calibri" w:eastAsia="Calibri"/>
      <w:b w:val="0"/>
      <w:position w:val="0"/>
      <w:sz w:val="20"/>
      <w:szCs w:val="24"/>
      <w:lang w:val="zh-CN"/>
    </w:rPr>
  </w:style>
  <w:style w:type="paragraph" w:styleId="1016">
    <w:name w:val="Balloon Text"/>
    <w:basedOn w:val="977"/>
    <w:link w:val="1414"/>
    <w:qFormat/>
    <w:rPr>
      <w:rFonts w:ascii="Times New Roman"/>
      <w:sz w:val="18"/>
      <w:szCs w:val="18"/>
    </w:rPr>
  </w:style>
  <w:style w:type="paragraph" w:styleId="1017">
    <w:name w:val="Footer"/>
    <w:basedOn w:val="977"/>
    <w:link w:val="1073"/>
    <w:uiPriority w:val="99"/>
    <w:qFormat/>
    <w:pPr>
      <w:jc w:val="left"/>
      <w:tabs>
        <w:tab w:val="center" w:pos="4153" w:leader="none"/>
        <w:tab w:val="right" w:pos="8306" w:leader="none"/>
      </w:tabs>
    </w:pPr>
    <w:rPr>
      <w:rFonts w:ascii="Times New Roman"/>
      <w:sz w:val="18"/>
      <w:szCs w:val="18"/>
    </w:rPr>
  </w:style>
  <w:style w:type="paragraph" w:styleId="1018">
    <w:name w:val="Header"/>
    <w:basedOn w:val="977"/>
    <w:link w:val="141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19">
    <w:name w:val="Signature"/>
    <w:basedOn w:val="977"/>
    <w:link w:val="1074"/>
    <w:qFormat/>
    <w:pPr>
      <w:jc w:val="center"/>
      <w:spacing w:after="600" w:line="312" w:lineRule="atLeast"/>
    </w:pPr>
    <w:rPr>
      <w:rFonts w:ascii="Calibri" w:hAnsi="Calibri" w:eastAsia="仿宋_GB2312"/>
      <w:b w:val="0"/>
      <w:position w:val="0"/>
      <w:lang w:val="zh-CN"/>
    </w:rPr>
  </w:style>
  <w:style w:type="paragraph" w:styleId="1020">
    <w:name w:val="toc 1"/>
    <w:basedOn w:val="977"/>
    <w:next w:val="977"/>
    <w:uiPriority w:val="39"/>
    <w:qFormat/>
    <w:rPr>
      <w:rFonts w:ascii="Times New Roman"/>
    </w:rPr>
  </w:style>
  <w:style w:type="paragraph" w:styleId="1021">
    <w:name w:val="toc 4"/>
    <w:basedOn w:val="977"/>
    <w:next w:val="977"/>
    <w:qFormat/>
    <w:pPr>
      <w:ind w:left="630"/>
      <w:jc w:val="left"/>
    </w:pPr>
    <w:rPr>
      <w:rFonts w:ascii="Calibri" w:hAnsi="Calibri" w:eastAsia="Calibri" w:cs="宋体"/>
      <w:b w:val="0"/>
      <w:position w:val="0"/>
      <w:sz w:val="18"/>
      <w:lang w:val="zh-CN"/>
    </w:rPr>
  </w:style>
  <w:style w:type="paragraph" w:styleId="1022">
    <w:name w:val="index heading"/>
    <w:basedOn w:val="977"/>
    <w:next w:val="1023"/>
    <w:qFormat/>
    <w:rPr>
      <w:rFonts w:ascii="Calibri" w:hAnsi="Calibri" w:eastAsia="Calibri" w:cs="宋体"/>
      <w:b w:val="0"/>
      <w:position w:val="0"/>
      <w:sz w:val="20"/>
      <w:lang w:val="zh-CN"/>
    </w:rPr>
  </w:style>
  <w:style w:type="paragraph" w:styleId="1023">
    <w:name w:val="index 1"/>
    <w:basedOn w:val="977"/>
    <w:next w:val="977"/>
    <w:qFormat/>
    <w:rPr>
      <w:rFonts w:ascii="仿宋_GB2312" w:hAnsi="宋体" w:eastAsia="仿宋_GB2312" w:cs="宋体"/>
      <w:b w:val="0"/>
      <w:position w:val="0"/>
      <w:sz w:val="30"/>
      <w:szCs w:val="24"/>
      <w:lang w:val="zh-CN"/>
    </w:rPr>
  </w:style>
  <w:style w:type="paragraph" w:styleId="1024">
    <w:name w:val="Subtitle"/>
    <w:basedOn w:val="977"/>
    <w:next w:val="977"/>
    <w:link w:val="1075"/>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25">
    <w:name w:val="footnote text"/>
    <w:basedOn w:val="977"/>
    <w:link w:val="1076"/>
    <w:qFormat/>
    <w:pPr>
      <w:jc w:val="left"/>
    </w:pPr>
    <w:rPr>
      <w:rFonts w:ascii="Calibri" w:hAnsi="Calibri" w:eastAsia="Calibri"/>
      <w:b w:val="0"/>
      <w:position w:val="0"/>
      <w:sz w:val="18"/>
      <w:szCs w:val="18"/>
      <w:lang w:val="zh-CN"/>
    </w:rPr>
  </w:style>
  <w:style w:type="paragraph" w:styleId="1026">
    <w:name w:val="toc 6"/>
    <w:basedOn w:val="977"/>
    <w:next w:val="977"/>
    <w:qFormat/>
    <w:pPr>
      <w:ind w:left="1050"/>
      <w:jc w:val="left"/>
    </w:pPr>
    <w:rPr>
      <w:rFonts w:ascii="Calibri" w:hAnsi="Calibri" w:eastAsia="Calibri" w:cs="宋体"/>
      <w:b w:val="0"/>
      <w:position w:val="0"/>
      <w:sz w:val="18"/>
      <w:lang w:val="zh-CN"/>
    </w:rPr>
  </w:style>
  <w:style w:type="paragraph" w:styleId="1027">
    <w:name w:val="Body Text Indent 3"/>
    <w:basedOn w:val="977"/>
    <w:link w:val="1077"/>
    <w:qFormat/>
    <w:pPr>
      <w:ind w:left="420"/>
      <w:spacing w:after="120"/>
    </w:pPr>
    <w:rPr>
      <w:rFonts w:ascii="Times New Roman"/>
      <w:sz w:val="16"/>
      <w:szCs w:val="16"/>
    </w:rPr>
  </w:style>
  <w:style w:type="paragraph" w:styleId="1028">
    <w:name w:val="index 7"/>
    <w:basedOn w:val="977"/>
    <w:next w:val="977"/>
    <w:qFormat/>
    <w:pPr>
      <w:ind w:left="2520"/>
    </w:pPr>
    <w:rPr>
      <w:rFonts w:ascii="Calibri" w:hAnsi="Calibri" w:eastAsia="Calibri" w:cs="宋体"/>
      <w:b w:val="0"/>
      <w:position w:val="0"/>
      <w:sz w:val="20"/>
      <w:lang w:val="zh-CN"/>
    </w:rPr>
  </w:style>
  <w:style w:type="paragraph" w:styleId="1029">
    <w:name w:val="index 9"/>
    <w:basedOn w:val="977"/>
    <w:next w:val="977"/>
    <w:qFormat/>
    <w:pPr>
      <w:ind w:left="3360"/>
    </w:pPr>
    <w:rPr>
      <w:rFonts w:ascii="Calibri" w:hAnsi="Calibri" w:eastAsia="Calibri" w:cs="宋体"/>
      <w:b w:val="0"/>
      <w:position w:val="0"/>
      <w:sz w:val="20"/>
      <w:lang w:val="zh-CN"/>
    </w:rPr>
  </w:style>
  <w:style w:type="paragraph" w:styleId="1030">
    <w:name w:val="table of figures"/>
    <w:basedOn w:val="977"/>
    <w:next w:val="977"/>
    <w:qFormat/>
    <w:pPr>
      <w:ind w:left="840" w:hanging="420"/>
    </w:pPr>
    <w:rPr>
      <w:rFonts w:ascii="Calibri" w:hAnsi="Calibri" w:eastAsia="Calibri" w:cs="宋体"/>
      <w:b w:val="0"/>
      <w:position w:val="0"/>
      <w:sz w:val="20"/>
      <w:lang w:val="zh-CN"/>
    </w:rPr>
  </w:style>
  <w:style w:type="paragraph" w:styleId="1031">
    <w:name w:val="toc 2"/>
    <w:basedOn w:val="977"/>
    <w:next w:val="977"/>
    <w:uiPriority w:val="39"/>
    <w:qFormat/>
    <w:pPr>
      <w:ind w:left="420"/>
    </w:pPr>
    <w:rPr>
      <w:rFonts w:ascii="Times New Roman"/>
    </w:rPr>
  </w:style>
  <w:style w:type="paragraph" w:styleId="1032">
    <w:name w:val="toc 9"/>
    <w:basedOn w:val="977"/>
    <w:next w:val="977"/>
    <w:qFormat/>
    <w:pPr>
      <w:ind w:left="1680"/>
      <w:jc w:val="left"/>
    </w:pPr>
    <w:rPr>
      <w:rFonts w:ascii="Calibri" w:hAnsi="Calibri" w:eastAsia="Calibri" w:cs="宋体"/>
      <w:b w:val="0"/>
      <w:position w:val="0"/>
      <w:sz w:val="18"/>
      <w:lang w:val="zh-CN"/>
    </w:rPr>
  </w:style>
  <w:style w:type="paragraph" w:styleId="1033">
    <w:name w:val="Body Text 2"/>
    <w:basedOn w:val="977"/>
    <w:link w:val="1078"/>
    <w:qFormat/>
    <w:pPr>
      <w:jc w:val="center"/>
      <w:widowControl/>
    </w:pPr>
    <w:rPr>
      <w:rFonts w:ascii="楷体_GB2312" w:hAnsi="Calibri" w:eastAsia="楷体_GB2312"/>
      <w:b w:val="0"/>
      <w:position w:val="0"/>
      <w:sz w:val="28"/>
      <w:lang w:val="zh-CN"/>
    </w:rPr>
  </w:style>
  <w:style w:type="paragraph" w:styleId="1034">
    <w:name w:val="HTML Preformatted"/>
    <w:basedOn w:val="977"/>
    <w:link w:val="10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35">
    <w:name w:val="Normal (Web)"/>
    <w:basedOn w:val="977"/>
    <w:qFormat/>
    <w:pPr>
      <w:jc w:val="left"/>
      <w:spacing w:before="100" w:beforeAutospacing="1" w:after="100" w:afterAutospacing="1"/>
      <w:widowControl/>
    </w:pPr>
    <w:rPr>
      <w:rFonts w:hAnsi="宋体" w:cs="宋体"/>
      <w:szCs w:val="24"/>
    </w:rPr>
  </w:style>
  <w:style w:type="paragraph" w:styleId="1036">
    <w:name w:val="index 2"/>
    <w:basedOn w:val="977"/>
    <w:next w:val="977"/>
    <w:qFormat/>
    <w:pPr>
      <w:ind w:left="420"/>
    </w:pPr>
    <w:rPr>
      <w:rFonts w:ascii="Calibri" w:hAnsi="Calibri" w:eastAsia="Calibri" w:cs="宋体"/>
      <w:b w:val="0"/>
      <w:position w:val="0"/>
      <w:sz w:val="20"/>
      <w:lang w:val="zh-CN"/>
    </w:rPr>
  </w:style>
  <w:style w:type="paragraph" w:styleId="1037">
    <w:name w:val="Title"/>
    <w:basedOn w:val="977"/>
    <w:link w:val="1080"/>
    <w:qFormat/>
    <w:pPr>
      <w:jc w:val="center"/>
      <w:spacing w:line="420" w:lineRule="exact"/>
      <w:widowControl/>
    </w:pPr>
    <w:rPr>
      <w:rFonts w:ascii="Times New Roman" w:eastAsia="黑体"/>
      <w:position w:val="0"/>
      <w:sz w:val="28"/>
      <w:lang w:val="en-GB"/>
    </w:rPr>
  </w:style>
  <w:style w:type="paragraph" w:styleId="1038">
    <w:name w:val="annotation subject"/>
    <w:basedOn w:val="999"/>
    <w:next w:val="999"/>
    <w:link w:val="1081"/>
    <w:qFormat/>
    <w:rPr>
      <w:rFonts w:ascii="宋体"/>
      <w:b/>
      <w:bCs/>
      <w:position w:val="-10"/>
    </w:rPr>
  </w:style>
  <w:style w:type="paragraph" w:styleId="1039">
    <w:name w:val="Body Text First Indent"/>
    <w:basedOn w:val="1003"/>
    <w:link w:val="1082"/>
    <w:qFormat/>
    <w:pPr>
      <w:ind w:firstLine="420"/>
      <w:spacing w:after="120"/>
    </w:pPr>
    <w:rPr>
      <w:b w:val="0"/>
      <w:sz w:val="21"/>
      <w:szCs w:val="24"/>
      <w:lang w:val="zh-CN"/>
    </w:rPr>
  </w:style>
  <w:style w:type="paragraph" w:styleId="1040">
    <w:name w:val="Body Text First Indent 2"/>
    <w:basedOn w:val="1004"/>
    <w:link w:val="1419"/>
    <w:unhideWhenUsed/>
    <w:qFormat/>
    <w:pPr>
      <w:ind w:left="0"/>
      <w:spacing w:after="0" w:line="360" w:lineRule="auto"/>
    </w:pPr>
    <w:rPr>
      <w:rFonts w:ascii="宋体" w:hAnsi="宋体" w:cs="宋体"/>
      <w:szCs w:val="24"/>
    </w:rPr>
  </w:style>
  <w:style w:type="table" w:styleId="1041">
    <w:name w:val="Table Grid"/>
    <w:basedOn w:val="9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2">
    <w:name w:val="Strong"/>
    <w:qFormat/>
    <w:rPr>
      <w:rFonts w:ascii="Times New Roman" w:hAnsi="Times New Roman" w:eastAsia="宋体" w:cs="Times New Roman"/>
      <w:b/>
      <w:bCs/>
    </w:rPr>
  </w:style>
  <w:style w:type="character" w:styleId="1043">
    <w:name w:val="endnote reference"/>
    <w:qFormat/>
    <w:rPr>
      <w:vertAlign w:val="superscript"/>
    </w:rPr>
  </w:style>
  <w:style w:type="character" w:styleId="1044">
    <w:name w:val="page number"/>
    <w:basedOn w:val="987"/>
    <w:qFormat/>
    <w:rPr>
      <w:rFonts w:ascii="Times New Roman" w:hAnsi="Times New Roman" w:eastAsia="宋体" w:cs="Times New Roman"/>
    </w:rPr>
  </w:style>
  <w:style w:type="character" w:styleId="1045">
    <w:name w:val="FollowedHyperlink"/>
    <w:qFormat/>
    <w:rPr>
      <w:rFonts w:ascii="Times New Roman" w:hAnsi="Times New Roman" w:eastAsia="宋体" w:cs="Times New Roman"/>
      <w:color w:val="800080"/>
      <w:u w:val="none"/>
    </w:rPr>
  </w:style>
  <w:style w:type="character" w:styleId="1046">
    <w:name w:val="Emphasis"/>
    <w:qFormat/>
    <w:rPr>
      <w:rFonts w:ascii="Times New Roman" w:hAnsi="Times New Roman" w:eastAsia="宋体" w:cs="Times New Roman"/>
      <w:i/>
    </w:rPr>
  </w:style>
  <w:style w:type="character" w:styleId="1047">
    <w:name w:val="line number"/>
    <w:qFormat/>
  </w:style>
  <w:style w:type="character" w:styleId="1048">
    <w:name w:val="HTML Typewriter"/>
    <w:qFormat/>
    <w:rPr>
      <w:rFonts w:ascii="宋体" w:hAnsi="宋体" w:eastAsia="宋体" w:cs="宋体"/>
      <w:sz w:val="24"/>
      <w:szCs w:val="24"/>
    </w:rPr>
  </w:style>
  <w:style w:type="character" w:styleId="1049">
    <w:name w:val="Hyperlink"/>
    <w:uiPriority w:val="99"/>
    <w:qFormat/>
    <w:rPr>
      <w:rFonts w:ascii="Times New Roman" w:hAnsi="Times New Roman" w:eastAsia="宋体" w:cs="Times New Roman"/>
      <w:color w:val="0000ff"/>
      <w:u w:val="none"/>
    </w:rPr>
  </w:style>
  <w:style w:type="character" w:styleId="1050">
    <w:name w:val="annotation reference"/>
    <w:qFormat/>
    <w:rPr>
      <w:rFonts w:ascii="Times New Roman" w:hAnsi="Times New Roman" w:eastAsia="宋体" w:cs="Times New Roman"/>
      <w:sz w:val="21"/>
      <w:szCs w:val="21"/>
    </w:rPr>
  </w:style>
  <w:style w:type="character" w:styleId="1051">
    <w:name w:val="footnote reference"/>
    <w:qFormat/>
    <w:rPr>
      <w:vertAlign w:val="superscript"/>
    </w:rPr>
  </w:style>
  <w:style w:type="character" w:styleId="1052">
    <w:name w:val="HTML Sample"/>
    <w:qFormat/>
    <w:rPr>
      <w:rFonts w:ascii="Courier New" w:hAnsi="宋体" w:eastAsia="宋体" w:cs="Courier New"/>
    </w:rPr>
  </w:style>
  <w:style w:type="character" w:styleId="1053" w:customStyle="1">
    <w:name w:val="标题 1 字符"/>
    <w:link w:val="978"/>
    <w:qFormat/>
    <w:rPr>
      <w:rFonts w:ascii="楷体_GB2312" w:hAnsi="Times New Roman" w:eastAsia="楷体_GB2312" w:cs="Times New Roman"/>
      <w:sz w:val="28"/>
      <w:szCs w:val="28"/>
    </w:rPr>
  </w:style>
  <w:style w:type="paragraph" w:styleId="1054" w:customStyle="1">
    <w:name w:val="标题3"/>
    <w:basedOn w:val="98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55" w:customStyle="1">
    <w:name w:val="段"/>
    <w:next w:val="977"/>
    <w:qFormat/>
    <w:pPr>
      <w:ind w:firstLine="200"/>
      <w:jc w:val="both"/>
    </w:pPr>
    <w:rPr>
      <w:rFonts w:ascii="宋体"/>
      <w:sz w:val="21"/>
    </w:rPr>
  </w:style>
  <w:style w:type="character" w:styleId="1056" w:customStyle="1">
    <w:name w:val="正文文本 字符"/>
    <w:link w:val="1003"/>
    <w:qFormat/>
    <w:rPr>
      <w:rFonts w:ascii="楷体_GB2312" w:hAnsi="Arial" w:eastAsia="楷体_GB2312" w:cs="Times New Roman"/>
      <w:b/>
      <w:position w:val="-10"/>
      <w:sz w:val="28"/>
      <w:szCs w:val="28"/>
    </w:rPr>
  </w:style>
  <w:style w:type="character" w:styleId="1057" w:customStyle="1">
    <w:name w:val="标题 2 字符"/>
    <w:link w:val="979"/>
    <w:qFormat/>
    <w:rPr>
      <w:rFonts w:ascii="Arial" w:hAnsi="Arial" w:eastAsia="幼圆" w:cs="Arial"/>
      <w:bCs/>
      <w:position w:val="-10"/>
      <w:sz w:val="44"/>
      <w:szCs w:val="44"/>
    </w:rPr>
  </w:style>
  <w:style w:type="character" w:styleId="1058" w:customStyle="1">
    <w:name w:val="标题 3 字符"/>
    <w:link w:val="980"/>
    <w:qFormat/>
    <w:rPr>
      <w:bCs/>
      <w:position w:val="-10"/>
      <w:sz w:val="32"/>
      <w:szCs w:val="32"/>
    </w:rPr>
  </w:style>
  <w:style w:type="character" w:styleId="1059" w:customStyle="1">
    <w:name w:val="标题 4 字符"/>
    <w:link w:val="981"/>
    <w:qFormat/>
    <w:rPr>
      <w:rFonts w:ascii="Arial" w:hAnsi="Arial" w:eastAsia="黑体" w:cs="Arial"/>
      <w:bCs/>
      <w:position w:val="-10"/>
      <w:sz w:val="28"/>
      <w:szCs w:val="28"/>
    </w:rPr>
  </w:style>
  <w:style w:type="character" w:styleId="1060" w:customStyle="1">
    <w:name w:val="标题 5 字符"/>
    <w:link w:val="982"/>
    <w:qFormat/>
    <w:rPr>
      <w:rFonts w:ascii="黑体" w:hAnsi="Times New Roman" w:eastAsia="黑体" w:cs="Times New Roman"/>
      <w:b/>
      <w:color w:val="000000"/>
      <w:sz w:val="28"/>
    </w:rPr>
  </w:style>
  <w:style w:type="character" w:styleId="1061" w:customStyle="1">
    <w:name w:val="标题 6 字符"/>
    <w:link w:val="983"/>
    <w:qFormat/>
    <w:rPr>
      <w:rFonts w:ascii="Arial" w:hAnsi="Arial" w:eastAsia="黑体" w:cs="Times New Roman"/>
      <w:b/>
      <w:bCs/>
      <w:sz w:val="24"/>
      <w:szCs w:val="24"/>
    </w:rPr>
  </w:style>
  <w:style w:type="character" w:styleId="1062" w:customStyle="1">
    <w:name w:val="标题 7 字符"/>
    <w:link w:val="984"/>
    <w:qFormat/>
    <w:rPr>
      <w:rFonts w:ascii="Times New Roman" w:hAnsi="Times New Roman" w:eastAsia="宋体" w:cs="Times New Roman"/>
      <w:b/>
      <w:bCs/>
      <w:sz w:val="24"/>
      <w:szCs w:val="24"/>
    </w:rPr>
  </w:style>
  <w:style w:type="character" w:styleId="1063" w:customStyle="1">
    <w:name w:val="标题 8 字符"/>
    <w:link w:val="985"/>
    <w:qFormat/>
    <w:rPr>
      <w:rFonts w:ascii="Arial" w:hAnsi="Arial" w:eastAsia="黑体" w:cs="Times New Roman"/>
      <w:sz w:val="24"/>
      <w:szCs w:val="24"/>
    </w:rPr>
  </w:style>
  <w:style w:type="character" w:styleId="1064" w:customStyle="1">
    <w:name w:val="标题 9 字符"/>
    <w:link w:val="986"/>
    <w:qFormat/>
    <w:rPr>
      <w:rFonts w:ascii="Arial" w:hAnsi="Arial" w:eastAsia="黑体" w:cs="Times New Roman"/>
      <w:sz w:val="21"/>
      <w:szCs w:val="21"/>
    </w:rPr>
  </w:style>
  <w:style w:type="character" w:styleId="1065" w:customStyle="1">
    <w:name w:val="文档结构图 字符"/>
    <w:link w:val="998"/>
    <w:qFormat/>
    <w:rPr>
      <w:b/>
      <w:position w:val="-10"/>
      <w:sz w:val="24"/>
      <w:shd w:val="clear" w:color="auto" w:fill="000080"/>
    </w:rPr>
  </w:style>
  <w:style w:type="character" w:styleId="1066" w:customStyle="1">
    <w:name w:val="批注文字 字符"/>
    <w:link w:val="999"/>
    <w:qFormat/>
    <w:rPr>
      <w:rFonts w:ascii="Times New Roman" w:hAnsi="Times New Roman" w:eastAsia="仿宋_GB2312" w:cs="Times New Roman"/>
      <w:sz w:val="24"/>
    </w:rPr>
  </w:style>
  <w:style w:type="character" w:styleId="1067" w:customStyle="1">
    <w:name w:val="称呼 字符"/>
    <w:link w:val="1001"/>
    <w:qFormat/>
    <w:rPr>
      <w:rFonts w:ascii="仿宋_GB2312" w:hAnsi="Calibri" w:eastAsia="仿宋_GB2312" w:cs="宋体"/>
      <w:sz w:val="28"/>
      <w:lang w:val="zh-CN"/>
    </w:rPr>
  </w:style>
  <w:style w:type="character" w:styleId="1068" w:customStyle="1">
    <w:name w:val="正文文本 3 字符"/>
    <w:link w:val="1002"/>
    <w:qFormat/>
    <w:rPr>
      <w:rFonts w:ascii="仿宋_GB2312" w:hAnsi="Arial" w:eastAsia="仿宋_GB2312" w:cs="宋体"/>
      <w:sz w:val="32"/>
      <w:lang w:val="zh-CN"/>
    </w:rPr>
  </w:style>
  <w:style w:type="character" w:styleId="1069" w:customStyle="1">
    <w:name w:val="正文文本缩进 字符"/>
    <w:link w:val="1004"/>
    <w:qFormat/>
    <w:rPr>
      <w:b/>
      <w:position w:val="-10"/>
      <w:sz w:val="24"/>
    </w:rPr>
  </w:style>
  <w:style w:type="character" w:styleId="1070" w:customStyle="1">
    <w:name w:val="纯文本 字符"/>
    <w:link w:val="1010"/>
    <w:qFormat/>
    <w:rPr>
      <w:rFonts w:ascii="宋体" w:hAnsi="Courier New" w:eastAsia="宋体" w:cs="Courier New"/>
      <w:sz w:val="21"/>
      <w:szCs w:val="21"/>
      <w:lang w:val="en-US" w:eastAsia="zh-CN" w:bidi="ar-SA"/>
    </w:rPr>
  </w:style>
  <w:style w:type="character" w:styleId="1071" w:customStyle="1">
    <w:name w:val="正文文本缩进 2 字符"/>
    <w:link w:val="1014"/>
    <w:qFormat/>
    <w:rPr>
      <w:rFonts w:ascii="Arial" w:hAnsi="Arial" w:eastAsia="仿宋_GB2312"/>
      <w:sz w:val="32"/>
    </w:rPr>
  </w:style>
  <w:style w:type="character" w:styleId="1072" w:customStyle="1">
    <w:name w:val="尾注文本 字符"/>
    <w:link w:val="1015"/>
    <w:qFormat/>
    <w:rPr>
      <w:rFonts w:ascii="Calibri" w:hAnsi="Calibri" w:eastAsia="Calibri" w:cs="宋体"/>
      <w:szCs w:val="24"/>
      <w:lang w:val="zh-CN"/>
    </w:rPr>
  </w:style>
  <w:style w:type="character" w:styleId="1073" w:customStyle="1">
    <w:name w:val="页脚 字符"/>
    <w:link w:val="1017"/>
    <w:uiPriority w:val="99"/>
    <w:qFormat/>
    <w:rPr>
      <w:b/>
      <w:position w:val="-10"/>
      <w:sz w:val="18"/>
      <w:szCs w:val="18"/>
    </w:rPr>
  </w:style>
  <w:style w:type="character" w:styleId="1074" w:customStyle="1">
    <w:name w:val="签名 字符"/>
    <w:link w:val="1019"/>
    <w:qFormat/>
    <w:rPr>
      <w:rFonts w:ascii="Calibri" w:hAnsi="Calibri" w:eastAsia="仿宋_GB2312" w:cs="宋体"/>
      <w:sz w:val="24"/>
      <w:lang w:val="zh-CN"/>
    </w:rPr>
  </w:style>
  <w:style w:type="character" w:styleId="1075" w:customStyle="1">
    <w:name w:val="副标题 字符"/>
    <w:link w:val="1024"/>
    <w:qFormat/>
    <w:rPr>
      <w:rFonts w:ascii="Cambria" w:hAnsi="Cambria" w:eastAsia="Calibri" w:cs="宋体"/>
      <w:i/>
      <w:iCs/>
      <w:spacing w:val="13"/>
      <w:sz w:val="24"/>
      <w:szCs w:val="24"/>
      <w:lang w:val="zh-CN" w:eastAsia="en-US" w:bidi="en-US"/>
    </w:rPr>
  </w:style>
  <w:style w:type="character" w:styleId="1076" w:customStyle="1">
    <w:name w:val="脚注文本 字符"/>
    <w:link w:val="1025"/>
    <w:qFormat/>
    <w:rPr>
      <w:rFonts w:ascii="Calibri" w:hAnsi="Calibri" w:eastAsia="Calibri" w:cs="宋体"/>
      <w:sz w:val="18"/>
      <w:szCs w:val="18"/>
      <w:lang w:val="zh-CN"/>
    </w:rPr>
  </w:style>
  <w:style w:type="character" w:styleId="1077" w:customStyle="1">
    <w:name w:val="正文文本缩进 3 字符"/>
    <w:link w:val="1027"/>
    <w:qFormat/>
    <w:rPr>
      <w:b/>
      <w:position w:val="-10"/>
      <w:sz w:val="16"/>
      <w:szCs w:val="16"/>
    </w:rPr>
  </w:style>
  <w:style w:type="character" w:styleId="1078" w:customStyle="1">
    <w:name w:val="正文文本 2 字符"/>
    <w:link w:val="1033"/>
    <w:qFormat/>
    <w:rPr>
      <w:rFonts w:ascii="楷体_GB2312" w:hAnsi="Calibri" w:eastAsia="楷体_GB2312" w:cs="宋体"/>
      <w:sz w:val="28"/>
      <w:lang w:val="zh-CN"/>
    </w:rPr>
  </w:style>
  <w:style w:type="character" w:styleId="1079" w:customStyle="1">
    <w:name w:val="HTML 预设格式 字符"/>
    <w:link w:val="1034"/>
    <w:qFormat/>
    <w:rPr>
      <w:rFonts w:ascii="黑体" w:hAnsi="Courier New" w:eastAsia="黑体" w:cs="Courier New"/>
    </w:rPr>
  </w:style>
  <w:style w:type="character" w:styleId="1080" w:customStyle="1">
    <w:name w:val="标题 字符"/>
    <w:link w:val="1037"/>
    <w:qFormat/>
    <w:rPr>
      <w:rFonts w:eastAsia="黑体"/>
      <w:b/>
      <w:sz w:val="28"/>
      <w:lang w:val="en-GB"/>
    </w:rPr>
  </w:style>
  <w:style w:type="character" w:styleId="1081" w:customStyle="1">
    <w:name w:val="批注主题 字符"/>
    <w:link w:val="1038"/>
    <w:qFormat/>
    <w:rPr>
      <w:rFonts w:ascii="宋体" w:hAnsi="Times New Roman" w:eastAsia="仿宋_GB2312" w:cs="Times New Roman"/>
      <w:b/>
      <w:bCs/>
      <w:position w:val="-10"/>
      <w:sz w:val="24"/>
    </w:rPr>
  </w:style>
  <w:style w:type="character" w:styleId="1082" w:customStyle="1">
    <w:name w:val="正文文本首行缩进 字符"/>
    <w:link w:val="1039"/>
    <w:qFormat/>
    <w:rPr>
      <w:rFonts w:ascii="楷体_GB2312" w:hAnsi="Arial" w:eastAsia="楷体_GB2312" w:cs="宋体"/>
      <w:position w:val="-10"/>
      <w:sz w:val="21"/>
      <w:szCs w:val="24"/>
      <w:lang w:val="zh-CN"/>
    </w:rPr>
  </w:style>
  <w:style w:type="character" w:styleId="1083" w:customStyle="1">
    <w:name w:val="标题 2 Char"/>
    <w:qFormat/>
    <w:rPr>
      <w:rFonts w:ascii="Arial" w:hAnsi="Arial" w:eastAsia="宋体" w:cs="Times New Roman"/>
      <w:b/>
      <w:bCs/>
      <w:sz w:val="28"/>
      <w:szCs w:val="32"/>
      <w:lang w:val="en-US" w:eastAsia="zh-CN" w:bidi="ar-SA"/>
    </w:rPr>
  </w:style>
  <w:style w:type="paragraph" w:styleId="1084">
    <w:name w:val="List Paragraph"/>
    <w:basedOn w:val="977"/>
    <w:uiPriority w:val="34"/>
    <w:qFormat/>
    <w:pPr>
      <w:ind w:left="720"/>
      <w:jc w:val="left"/>
      <w:widowControl/>
    </w:pPr>
    <w:rPr>
      <w:rFonts w:ascii="Calibri" w:hAnsi="Calibri"/>
      <w:szCs w:val="24"/>
      <w:lang w:eastAsia="en-US" w:bidi="en-US"/>
    </w:rPr>
  </w:style>
  <w:style w:type="paragraph" w:styleId="1085" w:customStyle="1">
    <w:name w:val="font5"/>
    <w:basedOn w:val="977"/>
    <w:qFormat/>
    <w:pPr>
      <w:jc w:val="left"/>
      <w:spacing w:before="100" w:beforeAutospacing="1" w:after="100" w:afterAutospacing="1"/>
      <w:widowControl/>
    </w:pPr>
    <w:rPr>
      <w:rFonts w:hAnsi="宋体" w:eastAsia="Calibri" w:cs="宋体"/>
      <w:b w:val="0"/>
      <w:position w:val="0"/>
      <w:sz w:val="18"/>
      <w:szCs w:val="18"/>
      <w:lang w:val="zh-CN"/>
    </w:rPr>
  </w:style>
  <w:style w:type="paragraph" w:styleId="1086" w:customStyle="1">
    <w:name w:val="xl35"/>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7" w:customStyle="1">
    <w:name w:val="List Paragraph1"/>
    <w:basedOn w:val="977"/>
    <w:qFormat/>
    <w:pPr>
      <w:ind w:firstLine="420"/>
    </w:pPr>
    <w:rPr>
      <w:rFonts w:ascii="Calibri" w:hAnsi="Calibri" w:cs="Calibri"/>
    </w:rPr>
  </w:style>
  <w:style w:type="paragraph" w:styleId="1088" w:customStyle="1">
    <w:name w:val="中等深浅网格 1 - 强调文字颜色 21"/>
    <w:basedOn w:val="977"/>
    <w:qFormat/>
    <w:pPr>
      <w:ind w:firstLine="420"/>
    </w:pPr>
    <w:rPr>
      <w:rFonts w:ascii="Calibri" w:hAnsi="Calibri" w:eastAsia="Calibri" w:cs="宋体"/>
      <w:b w:val="0"/>
      <w:position w:val="0"/>
      <w:sz w:val="20"/>
      <w:szCs w:val="22"/>
      <w:lang w:val="zh-CN"/>
    </w:rPr>
  </w:style>
  <w:style w:type="paragraph" w:styleId="1089" w:customStyle="1">
    <w:name w:val="章标题"/>
    <w:next w:val="1055"/>
    <w:qFormat/>
    <w:pPr>
      <w:jc w:val="both"/>
      <w:outlineLvl w:val="1"/>
    </w:pPr>
    <w:rPr>
      <w:rFonts w:eastAsia="黑体"/>
      <w:sz w:val="21"/>
    </w:rPr>
  </w:style>
  <w:style w:type="paragraph" w:styleId="1090" w:customStyle="1">
    <w:name w:val="标题3，章节第三层"/>
    <w:basedOn w:val="977"/>
    <w:next w:val="1091"/>
    <w:qFormat/>
    <w:pPr>
      <w:spacing w:before="78" w:line="300" w:lineRule="auto"/>
      <w:outlineLvl w:val="2"/>
    </w:pPr>
    <w:rPr>
      <w:rFonts w:ascii="Arial" w:hAnsi="Arial" w:eastAsia="华文细黑" w:cs="宋体"/>
      <w:b w:val="0"/>
      <w:position w:val="0"/>
      <w:sz w:val="30"/>
      <w:szCs w:val="24"/>
      <w:lang w:val="zh-CN"/>
    </w:rPr>
  </w:style>
  <w:style w:type="paragraph" w:styleId="1091" w:customStyle="1">
    <w:name w:val="正文格式"/>
    <w:basedOn w:val="977"/>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92" w:customStyle="1">
    <w:name w:val="小四 段落 宋体 Char"/>
    <w:basedOn w:val="995"/>
    <w:qFormat/>
    <w:pPr>
      <w:ind w:left="0" w:right="-33" w:firstLine="600"/>
      <w:jc w:val="left"/>
      <w:tabs>
        <w:tab w:val="clear" w:pos="2952" w:leader="none"/>
      </w:tabs>
    </w:pPr>
    <w:rPr>
      <w:rFonts w:ascii="仿宋_GB2312" w:eastAsia="仿宋_GB2312"/>
      <w:sz w:val="30"/>
      <w:szCs w:val="30"/>
    </w:rPr>
  </w:style>
  <w:style w:type="paragraph" w:styleId="1093" w:customStyle="1">
    <w:name w:val="xl39"/>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94" w:customStyle="1">
    <w:name w:val="retrait3"/>
    <w:basedOn w:val="977"/>
    <w:qFormat/>
    <w:pPr>
      <w:ind w:left="851"/>
      <w:jc w:val="left"/>
      <w:spacing w:before="20" w:after="20"/>
      <w:widowControl/>
    </w:pPr>
    <w:rPr>
      <w:rFonts w:ascii="Arial" w:hAnsi="Arial" w:eastAsia="Calibri" w:cs="宋体"/>
      <w:b w:val="0"/>
      <w:position w:val="0"/>
      <w:lang w:val="en-GB"/>
    </w:rPr>
  </w:style>
  <w:style w:type="paragraph" w:styleId="1095" w:customStyle="1">
    <w:name w:val="招标文件"/>
    <w:basedOn w:val="977"/>
    <w:qFormat/>
    <w:pPr>
      <w:jc w:val="center"/>
      <w:spacing w:before="260" w:after="260"/>
      <w:outlineLvl w:val="1"/>
    </w:pPr>
    <w:rPr>
      <w:rFonts w:hAnsi="宋体"/>
      <w:bCs/>
      <w:sz w:val="32"/>
      <w:szCs w:val="32"/>
    </w:rPr>
  </w:style>
  <w:style w:type="paragraph" w:styleId="1096" w:customStyle="1">
    <w:name w:val="样式 标题 3H3sect1.2.3BOD 0Heading 3 - oldh3l3CTLevel 3 Head..."/>
    <w:basedOn w:val="980"/>
    <w:qFormat/>
    <w:pPr>
      <w:jc w:val="left"/>
      <w:spacing w:line="390" w:lineRule="atLeast"/>
      <w:shd w:val="clear" w:color="auto" w:fill="ffffff"/>
    </w:pPr>
    <w:rPr>
      <w:rFonts w:ascii="宋体" w:hAnsi="宋体" w:cs="宋体"/>
      <w:b/>
      <w:position w:val="0"/>
      <w:sz w:val="30"/>
      <w:szCs w:val="21"/>
      <w:lang w:val="zh-CN"/>
    </w:rPr>
  </w:style>
  <w:style w:type="paragraph" w:styleId="1097" w:customStyle="1">
    <w:name w:val="小四 段落 宋体 Char Char Char"/>
    <w:basedOn w:val="995"/>
    <w:qFormat/>
    <w:pPr>
      <w:ind w:left="0" w:right="-33" w:firstLine="545"/>
      <w:jc w:val="left"/>
      <w:spacing w:line="360" w:lineRule="auto"/>
      <w:tabs>
        <w:tab w:val="clear" w:pos="2952" w:leader="none"/>
      </w:tabs>
    </w:pPr>
    <w:rPr>
      <w:sz w:val="24"/>
    </w:rPr>
  </w:style>
  <w:style w:type="paragraph" w:styleId="1098" w:customStyle="1">
    <w:name w:val="小四 段落 宋体"/>
    <w:basedOn w:val="995"/>
    <w:qFormat/>
    <w:pPr>
      <w:ind w:left="113" w:right="113" w:firstLine="425"/>
      <w:jc w:val="left"/>
      <w:spacing w:line="360" w:lineRule="auto"/>
      <w:tabs>
        <w:tab w:val="clear" w:pos="2952" w:leader="none"/>
      </w:tabs>
    </w:pPr>
    <w:rPr>
      <w:sz w:val="24"/>
    </w:rPr>
  </w:style>
  <w:style w:type="paragraph" w:styleId="1099" w:customStyle="1">
    <w:name w:val="111111"/>
    <w:basedOn w:val="977"/>
    <w:link w:val="1100"/>
    <w:qFormat/>
    <w:pPr>
      <w:jc w:val="center"/>
      <w:spacing w:before="120" w:after="120"/>
    </w:pPr>
    <w:rPr>
      <w:rFonts w:hAnsi="宋体" w:eastAsia="黑体"/>
      <w:bCs/>
      <w:position w:val="0"/>
      <w:sz w:val="21"/>
      <w:szCs w:val="21"/>
    </w:rPr>
  </w:style>
  <w:style w:type="character" w:styleId="1100" w:customStyle="1">
    <w:name w:val="111111 Char"/>
    <w:link w:val="1099"/>
    <w:qFormat/>
    <w:rPr>
      <w:rFonts w:ascii="宋体" w:hAnsi="宋体" w:eastAsia="黑体" w:cs="宋体"/>
      <w:b/>
      <w:bCs/>
      <w:sz w:val="21"/>
      <w:szCs w:val="21"/>
    </w:rPr>
  </w:style>
  <w:style w:type="paragraph" w:styleId="1101" w:customStyle="1">
    <w:name w:val="标题6"/>
    <w:basedOn w:val="982"/>
    <w:qFormat/>
    <w:pPr>
      <w:numPr>
        <w:numId w:val="1"/>
      </w:numPr>
      <w:keepLines/>
      <w:tabs>
        <w:tab w:val="left" w:pos="420" w:leader="none"/>
      </w:tabs>
    </w:pPr>
    <w:rPr>
      <w:rFonts w:ascii="Times New Roman"/>
      <w:b w:val="0"/>
      <w:bCs/>
      <w:color w:val="auto"/>
      <w:sz w:val="24"/>
      <w:szCs w:val="28"/>
    </w:rPr>
  </w:style>
  <w:style w:type="paragraph" w:styleId="1102" w:customStyle="1">
    <w:name w:val="Char1 Char Char Char"/>
    <w:basedOn w:val="977"/>
    <w:qFormat/>
    <w:rPr>
      <w:rFonts w:ascii="Tahoma" w:hAnsi="Tahoma" w:eastAsia="Calibri" w:cs="Tahoma"/>
      <w:b w:val="0"/>
      <w:position w:val="0"/>
      <w:lang w:val="zh-CN"/>
    </w:rPr>
  </w:style>
  <w:style w:type="paragraph" w:styleId="1103" w:customStyle="1">
    <w:name w:val="flNote"/>
    <w:basedOn w:val="977"/>
    <w:qFormat/>
    <w:pPr>
      <w:jc w:val="center"/>
      <w:spacing w:before="567" w:line="360" w:lineRule="atLeast"/>
    </w:pPr>
    <w:rPr>
      <w:rFonts w:ascii="Calibri" w:hAnsi="Calibri" w:eastAsia="黑体" w:cs="宋体"/>
      <w:position w:val="0"/>
      <w:lang w:val="zh-CN"/>
    </w:rPr>
  </w:style>
  <w:style w:type="paragraph" w:styleId="1104" w:customStyle="1">
    <w:name w:val="样式4 Char"/>
    <w:basedOn w:val="97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05" w:customStyle="1">
    <w:name w:val="xl34"/>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6" w:customStyle="1">
    <w:name w:val="af17cgridlangnp1033langf"/>
    <w:qFormat/>
    <w:pPr>
      <w:ind w:left="567" w:firstLine="510"/>
      <w:jc w:val="both"/>
      <w:spacing w:before="156" w:line="360" w:lineRule="atLeast"/>
      <w:widowControl w:val="off"/>
    </w:pPr>
  </w:style>
  <w:style w:type="paragraph" w:styleId="1107" w:customStyle="1">
    <w:name w:val="Item Step in Table"/>
    <w:qFormat/>
    <w:pPr>
      <w:jc w:val="both"/>
      <w:spacing w:before="40" w:after="40"/>
      <w:tabs>
        <w:tab w:val="left" w:pos="397" w:leader="none"/>
      </w:tabs>
    </w:pPr>
    <w:rPr>
      <w:rFonts w:ascii="Arial" w:hAnsi="Arial" w:cs="Arial"/>
      <w:sz w:val="18"/>
      <w:szCs w:val="18"/>
    </w:rPr>
  </w:style>
  <w:style w:type="paragraph" w:styleId="1108" w:customStyle="1">
    <w:name w:val="content_lineheight"/>
    <w:basedOn w:val="977"/>
    <w:qFormat/>
    <w:pPr>
      <w:jc w:val="left"/>
      <w:spacing w:before="100" w:beforeAutospacing="1" w:after="100" w:afterAutospacing="1"/>
      <w:widowControl/>
    </w:pPr>
    <w:rPr>
      <w:rFonts w:hAnsi="宋体" w:eastAsia="Calibri" w:cs="宋体"/>
      <w:b w:val="0"/>
      <w:position w:val="0"/>
      <w:szCs w:val="24"/>
      <w:lang w:val="zh-CN"/>
    </w:rPr>
  </w:style>
  <w:style w:type="paragraph" w:styleId="1109" w:customStyle="1">
    <w:name w:val="Char1 Char Char Char1"/>
    <w:basedOn w:val="977"/>
    <w:qFormat/>
    <w:rPr>
      <w:rFonts w:ascii="Tahoma" w:hAnsi="Tahoma" w:eastAsia="Calibri" w:cs="宋体"/>
      <w:b w:val="0"/>
      <w:position w:val="0"/>
      <w:lang w:val="zh-CN"/>
    </w:rPr>
  </w:style>
  <w:style w:type="paragraph" w:styleId="1110" w:customStyle="1">
    <w:name w:val="xl29"/>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1" w:customStyle="1">
    <w:name w:val="Char Char Char Char Char Char Char Char Char Char Char Char Char Char"/>
    <w:basedOn w:val="977"/>
    <w:qFormat/>
    <w:rPr>
      <w:rFonts w:ascii="Tahoma" w:hAnsi="Tahoma" w:eastAsia="Calibri" w:cs="宋体"/>
      <w:b w:val="0"/>
      <w:position w:val="0"/>
      <w:lang w:val="zh-CN"/>
    </w:rPr>
  </w:style>
  <w:style w:type="paragraph" w:styleId="1112" w:customStyle="1">
    <w:name w:val="Char Char"/>
    <w:basedOn w:val="977"/>
    <w:qFormat/>
    <w:rPr>
      <w:rFonts w:ascii="Tahoma" w:hAnsi="Tahoma" w:eastAsia="Calibri" w:cs="Tahoma"/>
      <w:b w:val="0"/>
      <w:position w:val="0"/>
      <w:lang w:val="zh-CN"/>
    </w:rPr>
  </w:style>
  <w:style w:type="paragraph" w:styleId="1113" w:customStyle="1">
    <w:name w:val="flName"/>
    <w:basedOn w:val="1103"/>
    <w:qFormat/>
    <w:pPr>
      <w:spacing w:before="0" w:line="113" w:lineRule="atLeast"/>
    </w:pPr>
  </w:style>
  <w:style w:type="paragraph" w:styleId="1114" w:customStyle="1">
    <w:name w:val="Char Char Char Char Char Char Char Char Char Char Char Char Char Char Char Char Char Char Char Char Char"/>
    <w:basedOn w:val="977"/>
    <w:qFormat/>
    <w:rPr>
      <w:rFonts w:ascii="Tahoma" w:hAnsi="Tahoma" w:eastAsia="Calibri" w:cs="Tahoma"/>
      <w:b w:val="0"/>
      <w:position w:val="0"/>
      <w:lang w:val="zh-CN"/>
    </w:rPr>
  </w:style>
  <w:style w:type="paragraph" w:styleId="1115" w:customStyle="1">
    <w:name w:val="font13"/>
    <w:basedOn w:val="97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16" w:customStyle="1">
    <w:name w:val="xl48"/>
    <w:basedOn w:val="97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17" w:customStyle="1">
    <w:name w:val="Char Char Char Char Char Char Char Char Char Char Char Char Char Char1"/>
    <w:basedOn w:val="977"/>
    <w:qFormat/>
    <w:rPr>
      <w:rFonts w:ascii="Tahoma" w:hAnsi="Tahoma" w:eastAsia="Calibri" w:cs="Tahoma"/>
      <w:b w:val="0"/>
      <w:position w:val="0"/>
      <w:lang w:val="zh-CN"/>
    </w:rPr>
  </w:style>
  <w:style w:type="paragraph" w:styleId="1118" w:customStyle="1">
    <w:name w:val="二级目录"/>
    <w:next w:val="977"/>
    <w:qFormat/>
    <w:pPr>
      <w:tabs>
        <w:tab w:val="left" w:pos="360" w:leader="none"/>
        <w:tab w:val="left" w:pos="1145" w:leader="none"/>
      </w:tabs>
      <w:outlineLvl w:val="1"/>
    </w:pPr>
    <w:rPr>
      <w:rFonts w:ascii="Calibri" w:hAnsi="Calibri"/>
      <w:b/>
      <w:sz w:val="30"/>
      <w:szCs w:val="28"/>
    </w:rPr>
  </w:style>
  <w:style w:type="paragraph" w:styleId="1119" w:customStyle="1">
    <w:name w:val="我的正文"/>
    <w:basedOn w:val="977"/>
    <w:qFormat/>
    <w:pPr>
      <w:ind w:firstLine="420"/>
      <w:jc w:val="left"/>
      <w:spacing w:line="360" w:lineRule="auto"/>
      <w:widowControl/>
    </w:pPr>
    <w:rPr>
      <w:rFonts w:hAnsi="宋体" w:eastAsia="Calibri" w:cs="宋体"/>
      <w:b w:val="0"/>
      <w:position w:val="0"/>
      <w:sz w:val="20"/>
      <w:szCs w:val="21"/>
      <w:lang w:val="zh-CN"/>
    </w:rPr>
  </w:style>
  <w:style w:type="paragraph" w:styleId="1120" w:customStyle="1">
    <w:name w:val="Normal1"/>
    <w:basedOn w:val="977"/>
    <w:qFormat/>
    <w:rPr>
      <w:rFonts w:ascii="Calibri" w:hAnsi="Calibri" w:eastAsia="Calibri" w:cs="宋体"/>
      <w:b w:val="0"/>
      <w:position w:val="0"/>
      <w:sz w:val="20"/>
      <w:lang w:val="zh-CN"/>
    </w:rPr>
  </w:style>
  <w:style w:type="paragraph" w:styleId="1121" w:customStyle="1">
    <w:name w:val="xl50"/>
    <w:basedOn w:val="97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2" w:customStyle="1">
    <w:name w:val="样式 段后: 0.5 行 左  0.75 字符"/>
    <w:basedOn w:val="977"/>
    <w:qFormat/>
    <w:pPr>
      <w:ind w:firstLine="420"/>
      <w:spacing w:line="360" w:lineRule="auto"/>
      <w:widowControl/>
    </w:pPr>
    <w:rPr>
      <w:rFonts w:ascii="Calibri" w:hAnsi="Arial" w:eastAsia="Calibri" w:cs="Arial"/>
      <w:b w:val="0"/>
      <w:position w:val="0"/>
      <w:sz w:val="20"/>
      <w:szCs w:val="21"/>
      <w:lang w:val="zh-CN"/>
    </w:rPr>
  </w:style>
  <w:style w:type="paragraph" w:styleId="1123" w:customStyle="1">
    <w:name w:val="表头_5"/>
    <w:basedOn w:val="977"/>
    <w:qFormat/>
    <w:pPr>
      <w:spacing w:line="360" w:lineRule="auto"/>
    </w:pPr>
    <w:rPr>
      <w:rFonts w:ascii="Calibri" w:hAnsi="Calibri" w:eastAsia="Calibri" w:cs="宋体"/>
      <w:bCs/>
      <w:position w:val="0"/>
      <w:sz w:val="28"/>
      <w:szCs w:val="21"/>
      <w:lang w:val="zh-CN"/>
    </w:rPr>
  </w:style>
  <w:style w:type="paragraph" w:styleId="1124" w:customStyle="1">
    <w:name w:val="Char Char1 Char"/>
    <w:basedOn w:val="977"/>
    <w:qFormat/>
    <w:pPr>
      <w:jc w:val="left"/>
      <w:spacing w:after="160" w:line="240" w:lineRule="exact"/>
      <w:widowControl/>
    </w:pPr>
    <w:rPr>
      <w:rFonts w:ascii="Verdana" w:hAnsi="Verdana" w:eastAsia="Calibri" w:cs="宋体"/>
      <w:b w:val="0"/>
      <w:position w:val="0"/>
      <w:sz w:val="20"/>
      <w:lang w:val="zh-CN" w:eastAsia="en-US"/>
    </w:rPr>
  </w:style>
  <w:style w:type="paragraph" w:styleId="1125" w:customStyle="1">
    <w:name w:val="标题1，章节第一层"/>
    <w:basedOn w:val="1091"/>
    <w:next w:val="1091"/>
    <w:qFormat/>
    <w:pPr>
      <w:ind w:left="482"/>
      <w:tabs>
        <w:tab w:val="left" w:pos="693" w:leader="none"/>
      </w:tabs>
      <w:outlineLvl w:val="0"/>
    </w:pPr>
    <w:rPr>
      <w:color w:val="000000"/>
      <w:sz w:val="24"/>
      <w:szCs w:val="24"/>
    </w:rPr>
  </w:style>
  <w:style w:type="paragraph" w:styleId="1126" w:customStyle="1">
    <w:name w:val="font12"/>
    <w:basedOn w:val="977"/>
    <w:qFormat/>
    <w:pPr>
      <w:jc w:val="left"/>
      <w:spacing w:before="100" w:beforeAutospacing="1" w:after="100" w:afterAutospacing="1"/>
      <w:widowControl/>
    </w:pPr>
    <w:rPr>
      <w:rFonts w:hAnsi="宋体" w:eastAsia="Calibri" w:cs="宋体"/>
      <w:b w:val="0"/>
      <w:position w:val="0"/>
      <w:sz w:val="36"/>
      <w:szCs w:val="36"/>
      <w:lang w:val="zh-CN"/>
    </w:rPr>
  </w:style>
  <w:style w:type="paragraph" w:styleId="1127" w:customStyle="1">
    <w:name w:val="马刚标题3"/>
    <w:basedOn w:val="977"/>
    <w:next w:val="97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28" w:customStyle="1">
    <w:name w:val="xl43"/>
    <w:basedOn w:val="97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9" w:customStyle="1">
    <w:name w:val="xl36"/>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0" w:customStyle="1">
    <w:name w:val="项目符号：一级"/>
    <w:basedOn w:val="1091"/>
    <w:next w:val="1091"/>
    <w:qFormat/>
    <w:pPr>
      <w:ind w:right="-134"/>
    </w:pPr>
    <w:rPr>
      <w:bCs w:val="0"/>
    </w:rPr>
  </w:style>
  <w:style w:type="paragraph" w:styleId="1131">
    <w:name w:val="Quote"/>
    <w:basedOn w:val="977"/>
    <w:next w:val="977"/>
    <w:link w:val="1132"/>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32" w:customStyle="1">
    <w:name w:val="引用 字符"/>
    <w:link w:val="1131"/>
    <w:qFormat/>
    <w:rPr>
      <w:rFonts w:ascii="Calibri" w:hAnsi="Calibri"/>
      <w:i/>
      <w:iCs/>
      <w:sz w:val="22"/>
      <w:szCs w:val="22"/>
      <w:lang w:eastAsia="en-US" w:bidi="en-US"/>
    </w:rPr>
  </w:style>
  <w:style w:type="paragraph" w:styleId="1133" w:customStyle="1">
    <w:name w:val="Test2"/>
    <w:basedOn w:val="979"/>
    <w:qFormat/>
    <w:pPr>
      <w:spacing w:line="480" w:lineRule="exact"/>
      <w:widowControl/>
    </w:pPr>
    <w:rPr>
      <w:rFonts w:ascii="黑体" w:eastAsia="黑体"/>
      <w:b/>
      <w:position w:val="0"/>
      <w:sz w:val="24"/>
      <w:szCs w:val="24"/>
    </w:rPr>
  </w:style>
  <w:style w:type="paragraph" w:styleId="1134" w:customStyle="1">
    <w:name w:val="丁华正文"/>
    <w:basedOn w:val="1027"/>
    <w:qFormat/>
    <w:pPr>
      <w:ind w:left="0" w:firstLine="510"/>
      <w:spacing w:after="0" w:line="360" w:lineRule="auto"/>
    </w:pPr>
    <w:rPr>
      <w:b w:val="0"/>
      <w:position w:val="0"/>
      <w:sz w:val="24"/>
    </w:rPr>
  </w:style>
  <w:style w:type="paragraph" w:styleId="1135" w:customStyle="1">
    <w:name w:val="xl45"/>
    <w:basedOn w:val="97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36" w:customStyle="1">
    <w:name w:val="xl38"/>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7" w:customStyle="1">
    <w:name w:val="表格抬头"/>
    <w:basedOn w:val="977"/>
    <w:link w:val="1138"/>
    <w:qFormat/>
    <w:pPr>
      <w:jc w:val="center"/>
    </w:pPr>
    <w:rPr>
      <w:rFonts w:ascii="黑体" w:eastAsia="黑体"/>
      <w:position w:val="0"/>
      <w:sz w:val="21"/>
    </w:rPr>
  </w:style>
  <w:style w:type="character" w:styleId="1138" w:customStyle="1">
    <w:name w:val="表格抬头 Char"/>
    <w:link w:val="1137"/>
    <w:qFormat/>
    <w:rPr>
      <w:rFonts w:ascii="黑体" w:eastAsia="黑体"/>
      <w:b/>
      <w:sz w:val="21"/>
    </w:rPr>
  </w:style>
  <w:style w:type="paragraph" w:styleId="1139" w:customStyle="1">
    <w:name w:val="插图"/>
    <w:basedOn w:val="97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40" w:customStyle="1">
    <w:name w:val="样式 段后: 0.25 行"/>
    <w:basedOn w:val="977"/>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41" w:customStyle="1">
    <w:name w:val="Char Char Char Char Char Char Char Char Char Char Char1 Char Char Char1"/>
    <w:basedOn w:val="977"/>
    <w:semiHidden/>
    <w:qFormat/>
    <w:pPr>
      <w:ind w:firstLine="200"/>
      <w:jc w:val="left"/>
    </w:pPr>
    <w:rPr>
      <w:rFonts w:ascii="Tahoma" w:hAnsi="Tahoma" w:eastAsia="Calibri" w:cs="宋体"/>
      <w:b w:val="0"/>
      <w:position w:val="0"/>
      <w:szCs w:val="24"/>
      <w:lang w:val="zh-CN"/>
    </w:rPr>
  </w:style>
  <w:style w:type="paragraph" w:styleId="1142" w:customStyle="1">
    <w:name w:val="xl56"/>
    <w:basedOn w:val="9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3" w:customStyle="1">
    <w:name w:val="符号与编号 Char"/>
    <w:basedOn w:val="977"/>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44" w:customStyle="1">
    <w:name w:val="正文文本 New New"/>
    <w:basedOn w:val="977"/>
    <w:qFormat/>
    <w:pPr>
      <w:ind w:firstLine="200"/>
      <w:spacing w:before="60" w:after="60" w:line="360" w:lineRule="auto"/>
      <w:widowControl/>
    </w:pPr>
    <w:rPr>
      <w:rFonts w:ascii="Calibri" w:hAnsi="Calibri" w:eastAsia="华文楷体" w:cs="宋体"/>
      <w:b w:val="0"/>
      <w:position w:val="0"/>
      <w:szCs w:val="24"/>
      <w:lang w:val="zh-CN"/>
    </w:rPr>
  </w:style>
  <w:style w:type="paragraph" w:styleId="1145" w:customStyle="1">
    <w:name w:val="普通正文"/>
    <w:basedOn w:val="977"/>
    <w:qFormat/>
    <w:pPr>
      <w:ind w:firstLine="480"/>
      <w:jc w:val="left"/>
      <w:spacing w:before="120" w:after="120" w:line="360" w:lineRule="auto"/>
    </w:pPr>
    <w:rPr>
      <w:rFonts w:ascii="Arial" w:hAnsi="Arial"/>
      <w:szCs w:val="24"/>
    </w:rPr>
  </w:style>
  <w:style w:type="paragraph" w:styleId="1146" w:customStyle="1">
    <w:name w:val="tableau"/>
    <w:basedOn w:val="977"/>
    <w:qFormat/>
    <w:pPr>
      <w:jc w:val="center"/>
      <w:spacing w:before="20" w:after="20"/>
      <w:widowControl/>
    </w:pPr>
    <w:rPr>
      <w:rFonts w:ascii="Arial" w:hAnsi="Arial" w:eastAsia="Calibri" w:cs="宋体"/>
      <w:b w:val="0"/>
      <w:position w:val="0"/>
      <w:sz w:val="16"/>
      <w:lang w:val="en-GB" w:eastAsia="en-US"/>
    </w:rPr>
  </w:style>
  <w:style w:type="paragraph" w:styleId="1147" w:customStyle="1">
    <w:name w:val="丁华标题3"/>
    <w:basedOn w:val="1148"/>
    <w:next w:val="1134"/>
    <w:qFormat/>
    <w:pPr>
      <w:ind w:left="1980" w:hanging="420"/>
      <w:spacing w:after="0"/>
      <w:tabs>
        <w:tab w:val="left" w:pos="1470" w:leader="none"/>
        <w:tab w:val="left" w:pos="1980" w:leader="none"/>
      </w:tabs>
      <w:outlineLvl w:val="2"/>
    </w:pPr>
    <w:rPr>
      <w:sz w:val="24"/>
    </w:rPr>
  </w:style>
  <w:style w:type="paragraph" w:styleId="1148" w:customStyle="1">
    <w:name w:val="丁华标题2"/>
    <w:basedOn w:val="979"/>
    <w:next w:val="1134"/>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49" w:customStyle="1">
    <w:name w:val="正文2"/>
    <w:basedOn w:val="977"/>
    <w:qFormat/>
    <w:pPr>
      <w:ind w:firstLine="510"/>
      <w:spacing w:before="156" w:line="360" w:lineRule="auto"/>
    </w:pPr>
    <w:rPr>
      <w:rFonts w:ascii="Calibri" w:hAnsi="Calibri" w:eastAsia="Calibri" w:cs="宋体"/>
      <w:b w:val="0"/>
      <w:position w:val="0"/>
      <w:lang w:val="zh-CN"/>
    </w:rPr>
  </w:style>
  <w:style w:type="paragraph" w:styleId="1150" w:customStyle="1">
    <w:name w:val="Char Char Char Char Char Char Char Char Char Char Char Char Char Char Char Char Char Char Char Char Char Char Char"/>
    <w:basedOn w:val="977"/>
    <w:qFormat/>
    <w:rPr>
      <w:rFonts w:ascii="Tahoma" w:hAnsi="Tahoma" w:eastAsia="Calibri" w:cs="宋体"/>
      <w:b w:val="0"/>
      <w:position w:val="0"/>
      <w:lang w:val="zh-CN"/>
    </w:rPr>
  </w:style>
  <w:style w:type="paragraph" w:styleId="1151" w:customStyle="1">
    <w:name w:val="正文文本缩进 31"/>
    <w:basedOn w:val="977"/>
    <w:qFormat/>
    <w:pPr>
      <w:ind w:firstLine="504"/>
      <w:spacing w:line="360" w:lineRule="auto"/>
      <w:tabs>
        <w:tab w:val="left" w:pos="0" w:leader="none"/>
      </w:tabs>
    </w:pPr>
    <w:rPr>
      <w:rFonts w:hAnsi="Calibri" w:eastAsia="Calibri" w:cs="宋体"/>
      <w:bCs/>
      <w:position w:val="0"/>
      <w:szCs w:val="24"/>
      <w:lang w:val="zh-CN"/>
    </w:rPr>
  </w:style>
  <w:style w:type="paragraph" w:styleId="1152" w:customStyle="1">
    <w:name w:val="font10"/>
    <w:basedOn w:val="97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53" w:customStyle="1">
    <w:name w:val="样式 加点正文 + 段前: 0.5 行 段后: 0.5 行1"/>
    <w:basedOn w:val="977"/>
    <w:qFormat/>
    <w:pPr>
      <w:ind w:left="1268"/>
      <w:spacing w:line="300" w:lineRule="auto"/>
      <w:tabs>
        <w:tab w:val="left" w:pos="1268" w:leader="none"/>
      </w:tabs>
    </w:pPr>
    <w:rPr>
      <w:rFonts w:ascii="Calibri" w:hAnsi="Calibri" w:eastAsia="Calibri" w:cs="宋体"/>
      <w:b w:val="0"/>
      <w:position w:val="0"/>
      <w:lang w:val="zh-CN"/>
    </w:rPr>
  </w:style>
  <w:style w:type="paragraph" w:styleId="1154" w:customStyle="1">
    <w:name w:val="正文lzq"/>
    <w:basedOn w:val="977"/>
    <w:qFormat/>
    <w:pPr>
      <w:ind w:firstLine="480"/>
      <w:spacing w:line="360" w:lineRule="auto"/>
    </w:pPr>
    <w:rPr>
      <w:rFonts w:ascii="Calibri" w:hAnsi="Calibri" w:eastAsia="Calibri" w:cs="宋体"/>
      <w:b w:val="0"/>
      <w:position w:val="0"/>
      <w:lang w:val="zh-CN"/>
    </w:rPr>
  </w:style>
  <w:style w:type="paragraph" w:styleId="1155" w:customStyle="1">
    <w:name w:val="正文 首行缩进:  2 字符 Char Char"/>
    <w:basedOn w:val="977"/>
    <w:qFormat/>
    <w:pPr>
      <w:ind w:firstLine="480"/>
      <w:spacing w:line="360" w:lineRule="auto"/>
    </w:pPr>
    <w:rPr>
      <w:rFonts w:ascii="楷体_GB2312" w:hAnsi="Calibri" w:eastAsia="楷体_GB2312" w:cs="宋体"/>
      <w:b w:val="0"/>
      <w:bCs/>
      <w:position w:val="0"/>
      <w:szCs w:val="24"/>
      <w:lang w:val="zh-CN"/>
    </w:rPr>
  </w:style>
  <w:style w:type="paragraph" w:styleId="1156" w:customStyle="1">
    <w:name w:val="font11"/>
    <w:basedOn w:val="97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57" w:customStyle="1">
    <w:name w:val="xl41"/>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Char Char1"/>
    <w:basedOn w:val="977"/>
    <w:qFormat/>
    <w:rPr>
      <w:rFonts w:ascii="Tahoma" w:hAnsi="Tahoma" w:eastAsia="Calibri" w:cs="Tahoma"/>
      <w:b w:val="0"/>
      <w:position w:val="0"/>
      <w:lang w:val="zh-CN"/>
    </w:rPr>
  </w:style>
  <w:style w:type="paragraph" w:styleId="1159" w:customStyle="1">
    <w:name w:val="新图表正文"/>
    <w:link w:val="1160"/>
    <w:qFormat/>
    <w:pPr>
      <w:jc w:val="both"/>
    </w:pPr>
    <w:rPr>
      <w:rFonts w:ascii="宋体" w:hAnsi="宋体"/>
      <w:sz w:val="18"/>
      <w:szCs w:val="21"/>
    </w:rPr>
  </w:style>
  <w:style w:type="character" w:styleId="1160" w:customStyle="1">
    <w:name w:val="新图表正文 Char Char"/>
    <w:link w:val="1159"/>
    <w:qFormat/>
    <w:rPr>
      <w:rFonts w:ascii="宋体" w:hAnsi="宋体"/>
      <w:sz w:val="18"/>
      <w:szCs w:val="21"/>
      <w:lang w:bidi="ar-SA"/>
    </w:rPr>
  </w:style>
  <w:style w:type="paragraph" w:styleId="1161" w:customStyle="1">
    <w:name w:val="Char2 Char Char Char Char Char Char1"/>
    <w:basedOn w:val="97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62" w:customStyle="1">
    <w:name w:val="xl58"/>
    <w:basedOn w:val="97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63" w:customStyle="1">
    <w:name w:val="font14"/>
    <w:basedOn w:val="97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64" w:customStyle="1">
    <w:name w:val="段 Char"/>
    <w:qFormat/>
    <w:pPr>
      <w:ind w:firstLine="200"/>
      <w:jc w:val="both"/>
    </w:pPr>
    <w:rPr>
      <w:rFonts w:ascii="宋体"/>
      <w:sz w:val="21"/>
    </w:rPr>
  </w:style>
  <w:style w:type="paragraph" w:styleId="1165" w:customStyle="1">
    <w:name w:val="默认段落字体 Para Char Char Char Char Char Char Char"/>
    <w:basedOn w:val="977"/>
    <w:qFormat/>
    <w:rPr>
      <w:rFonts w:ascii="Calibri" w:hAnsi="Calibri" w:eastAsia="Calibri" w:cs="宋体"/>
      <w:b w:val="0"/>
      <w:position w:val="0"/>
      <w:sz w:val="20"/>
      <w:lang w:val="zh-CN"/>
    </w:rPr>
  </w:style>
  <w:style w:type="paragraph" w:styleId="1166" w:customStyle="1">
    <w:name w:val="xl55"/>
    <w:basedOn w:val="97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67" w:customStyle="1">
    <w:name w:val="默认段落字体 Para Char Char Char Char Char Char Char Char Char1 Char Char Char Char Char Char Char"/>
    <w:basedOn w:val="998"/>
    <w:qFormat/>
    <w:rPr>
      <w:rFonts w:ascii="Tahoma" w:hAnsi="Tahoma"/>
      <w:szCs w:val="24"/>
    </w:rPr>
  </w:style>
  <w:style w:type="paragraph" w:styleId="1168" w:customStyle="1">
    <w:name w:val="Char Char Char Char Char"/>
    <w:basedOn w:val="977"/>
    <w:qFormat/>
    <w:rPr>
      <w:rFonts w:ascii="Tahoma" w:hAnsi="Tahoma" w:eastAsia="Calibri" w:cs="Tahoma"/>
      <w:b w:val="0"/>
      <w:position w:val="0"/>
      <w:lang w:val="zh-CN"/>
    </w:rPr>
  </w:style>
  <w:style w:type="paragraph" w:styleId="1169" w:customStyle="1">
    <w:name w:val="Char Char Char"/>
    <w:basedOn w:val="977"/>
    <w:qFormat/>
    <w:rPr>
      <w:rFonts w:ascii="Tahoma" w:hAnsi="Tahoma" w:eastAsia="Calibri" w:cs="宋体"/>
      <w:b w:val="0"/>
      <w:position w:val="0"/>
      <w:lang w:val="zh-CN"/>
    </w:rPr>
  </w:style>
  <w:style w:type="paragraph" w:styleId="1170" w:customStyle="1">
    <w:name w:val="Default"/>
    <w:qFormat/>
    <w:pPr>
      <w:widowControl w:val="off"/>
    </w:pPr>
    <w:rPr>
      <w:rFonts w:ascii="宋体" w:cs="宋体"/>
      <w:color w:val="000000"/>
      <w:sz w:val="24"/>
      <w:szCs w:val="24"/>
    </w:rPr>
  </w:style>
  <w:style w:type="paragraph" w:styleId="1171" w:customStyle="1">
    <w:name w:val="一级标题"/>
    <w:basedOn w:val="977"/>
    <w:qFormat/>
    <w:pPr>
      <w:ind w:left="900" w:hanging="420"/>
      <w:spacing w:line="360" w:lineRule="auto"/>
      <w:tabs>
        <w:tab w:val="left" w:pos="903" w:leader="none"/>
      </w:tabs>
    </w:pPr>
    <w:rPr>
      <w:rFonts w:ascii="Arial" w:hAnsi="Arial" w:eastAsia="Calibri" w:cs="Arial"/>
      <w:b w:val="0"/>
      <w:position w:val="0"/>
      <w:lang w:val="zh-CN"/>
    </w:rPr>
  </w:style>
  <w:style w:type="paragraph" w:styleId="1172" w:customStyle="1">
    <w:name w:val="xl52"/>
    <w:basedOn w:val="97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3" w:customStyle="1">
    <w:name w:val="Pa5"/>
    <w:basedOn w:val="977"/>
    <w:next w:val="977"/>
    <w:qFormat/>
    <w:pPr>
      <w:jc w:val="left"/>
      <w:spacing w:line="241" w:lineRule="atLeast"/>
    </w:pPr>
    <w:rPr>
      <w:rFonts w:ascii="HYDaHeiJ" w:hAnsi="Calibri" w:eastAsia="HYDaHeiJ" w:cs="宋体"/>
      <w:b w:val="0"/>
      <w:position w:val="0"/>
      <w:szCs w:val="24"/>
      <w:lang w:val="zh-CN"/>
    </w:rPr>
  </w:style>
  <w:style w:type="paragraph" w:styleId="1174" w:customStyle="1">
    <w:name w:val="小四 段落 宋体 Char Char"/>
    <w:basedOn w:val="977"/>
    <w:qFormat/>
    <w:pPr>
      <w:ind w:firstLine="480"/>
      <w:spacing w:line="360" w:lineRule="auto"/>
    </w:pPr>
    <w:rPr>
      <w:rFonts w:hAnsi="宋体" w:eastAsia="Calibri" w:cs="宋体"/>
      <w:b w:val="0"/>
      <w:position w:val="0"/>
      <w:szCs w:val="24"/>
      <w:lang w:val="zh-CN"/>
    </w:rPr>
  </w:style>
  <w:style w:type="paragraph" w:styleId="1175" w:customStyle="1">
    <w:name w:val="xl40"/>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6" w:customStyle="1">
    <w:name w:val="段落"/>
    <w:basedOn w:val="977"/>
    <w:qFormat/>
    <w:pPr>
      <w:ind w:firstLine="480"/>
      <w:spacing w:line="460" w:lineRule="exact"/>
    </w:pPr>
    <w:rPr>
      <w:rFonts w:ascii="Calibri" w:hAnsi="Calibri" w:eastAsia="Calibri" w:cs="宋体"/>
      <w:b w:val="0"/>
      <w:position w:val="0"/>
      <w:lang w:val="zh-CN"/>
    </w:rPr>
  </w:style>
  <w:style w:type="paragraph" w:styleId="1177" w:customStyle="1">
    <w:name w:val="公文标题 2"/>
    <w:basedOn w:val="977"/>
    <w:next w:val="1178"/>
    <w:qFormat/>
    <w:pPr>
      <w:outlineLvl w:val="1"/>
    </w:pPr>
    <w:rPr>
      <w:rFonts w:ascii="仿宋_GB2312" w:hAnsi="宋体" w:eastAsia="仿宋_GB2312" w:cs="宋体"/>
      <w:b w:val="0"/>
      <w:position w:val="0"/>
      <w:sz w:val="28"/>
      <w:szCs w:val="24"/>
      <w:lang w:val="zh-CN"/>
    </w:rPr>
  </w:style>
  <w:style w:type="paragraph" w:styleId="1178" w:customStyle="1">
    <w:name w:val="公文正文"/>
    <w:basedOn w:val="1004"/>
    <w:qFormat/>
    <w:pPr>
      <w:ind w:left="0" w:firstLine="200"/>
      <w:spacing w:after="0"/>
    </w:pPr>
    <w:rPr>
      <w:rFonts w:ascii="仿宋_GB2312" w:hAnsi="宋体" w:eastAsia="仿宋_GB2312"/>
      <w:b w:val="0"/>
      <w:position w:val="0"/>
      <w:sz w:val="28"/>
      <w:szCs w:val="24"/>
    </w:rPr>
  </w:style>
  <w:style w:type="paragraph" w:styleId="1179" w:customStyle="1">
    <w:name w:val="符号与编号"/>
    <w:basedOn w:val="977"/>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80" w:customStyle="1">
    <w:name w:val="样式 首行缩进:  2 字符"/>
    <w:basedOn w:val="977"/>
    <w:link w:val="1181"/>
    <w:qFormat/>
    <w:pPr>
      <w:ind w:firstLine="480"/>
      <w:spacing w:line="360" w:lineRule="auto"/>
    </w:pPr>
    <w:rPr>
      <w:rFonts w:ascii="Times New Roman"/>
      <w:b w:val="0"/>
      <w:position w:val="0"/>
    </w:rPr>
  </w:style>
  <w:style w:type="character" w:styleId="1181" w:customStyle="1">
    <w:name w:val="样式 首行缩进:  2 字符 Char Char"/>
    <w:link w:val="1180"/>
    <w:qFormat/>
    <w:rPr>
      <w:rFonts w:cs="宋体"/>
      <w:sz w:val="24"/>
    </w:rPr>
  </w:style>
  <w:style w:type="paragraph" w:styleId="1182" w:customStyle="1">
    <w:name w:val="正文 + Arial Char"/>
    <w:basedOn w:val="97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83" w:customStyle="1">
    <w:name w:val="xl37"/>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84" w:customStyle="1">
    <w:name w:val="Pa6"/>
    <w:basedOn w:val="977"/>
    <w:next w:val="977"/>
    <w:qFormat/>
    <w:pPr>
      <w:jc w:val="left"/>
      <w:spacing w:line="241" w:lineRule="atLeast"/>
    </w:pPr>
    <w:rPr>
      <w:rFonts w:ascii="HYDaHeiJ" w:hAnsi="Calibri" w:eastAsia="HYDaHeiJ" w:cs="宋体"/>
      <w:b w:val="0"/>
      <w:position w:val="0"/>
      <w:szCs w:val="24"/>
      <w:lang w:val="zh-CN"/>
    </w:rPr>
  </w:style>
  <w:style w:type="paragraph" w:styleId="1185" w:customStyle="1">
    <w:name w:val="表格文字"/>
    <w:basedOn w:val="977"/>
    <w:qFormat/>
    <w:pPr>
      <w:ind w:firstLine="200"/>
      <w:jc w:val="left"/>
      <w:spacing w:line="360" w:lineRule="auto"/>
    </w:pPr>
    <w:rPr>
      <w:rFonts w:ascii="Arial" w:hAnsi="Arial" w:eastAsia="Calibri" w:cs="宋体"/>
      <w:b w:val="0"/>
      <w:position w:val="0"/>
      <w:lang w:val="zh-CN"/>
    </w:rPr>
  </w:style>
  <w:style w:type="paragraph" w:styleId="1186" w:customStyle="1">
    <w:name w:val="xl47"/>
    <w:basedOn w:val="97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87" w:customStyle="1">
    <w:name w:val="xl24"/>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8" w:customStyle="1">
    <w:name w:val="样式 标题 2第一章 标题 2Heading 2 HiddenHeading 2 CCBSheading 2H2h2..."/>
    <w:basedOn w:val="979"/>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89" w:customStyle="1">
    <w:name w:val="默认段落字体 Para Char"/>
    <w:basedOn w:val="977"/>
    <w:qFormat/>
    <w:rPr>
      <w:rFonts w:ascii="Calibri" w:hAnsi="Calibri" w:eastAsia="Calibri" w:cs="宋体"/>
      <w:b w:val="0"/>
      <w:position w:val="0"/>
      <w:szCs w:val="24"/>
      <w:lang w:val="zh-CN"/>
    </w:rPr>
  </w:style>
  <w:style w:type="paragraph" w:styleId="1190" w:customStyle="1">
    <w:name w:val="Char Char Char Char Char Char Char"/>
    <w:basedOn w:val="977"/>
    <w:qFormat/>
    <w:pPr>
      <w:tabs>
        <w:tab w:val="left" w:pos="360" w:leader="none"/>
      </w:tabs>
    </w:pPr>
    <w:rPr>
      <w:rFonts w:ascii="Times New Roman"/>
      <w:szCs w:val="24"/>
    </w:rPr>
  </w:style>
  <w:style w:type="paragraph" w:styleId="1191" w:customStyle="1">
    <w:name w:val="首行缩进"/>
    <w:basedOn w:val="977"/>
    <w:qFormat/>
    <w:pPr>
      <w:ind w:firstLine="480"/>
    </w:pPr>
    <w:rPr>
      <w:rFonts w:ascii="Calibri" w:hAnsi="Calibri" w:eastAsia="Calibri" w:cs="宋体"/>
      <w:b w:val="0"/>
      <w:position w:val="0"/>
      <w:sz w:val="20"/>
      <w:lang w:val="zh-CN"/>
    </w:rPr>
  </w:style>
  <w:style w:type="paragraph" w:styleId="1192" w:customStyle="1">
    <w:name w:val="xl60"/>
    <w:basedOn w:val="9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93" w:customStyle="1">
    <w:name w:val="标题4，章节第四层"/>
    <w:basedOn w:val="977"/>
    <w:next w:val="977"/>
    <w:qFormat/>
    <w:pPr>
      <w:spacing w:line="360" w:lineRule="auto"/>
      <w:tabs>
        <w:tab w:val="left" w:pos="0" w:leader="none"/>
      </w:tabs>
      <w:outlineLvl w:val="3"/>
    </w:pPr>
    <w:rPr>
      <w:rFonts w:hAnsi="宋体" w:eastAsia="Calibri" w:cs="宋体"/>
      <w:position w:val="0"/>
      <w:szCs w:val="24"/>
      <w:lang w:val="zh-CN"/>
    </w:rPr>
  </w:style>
  <w:style w:type="paragraph" w:styleId="1194" w:customStyle="1">
    <w:name w:val="xl51"/>
    <w:basedOn w:val="9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95" w:customStyle="1">
    <w:name w:val="表格内文字"/>
    <w:basedOn w:val="977"/>
    <w:qFormat/>
    <w:pPr>
      <w:spacing w:line="300" w:lineRule="atLeast"/>
    </w:pPr>
    <w:rPr>
      <w:rFonts w:ascii="Calibri" w:hAnsi="Calibri" w:eastAsia="Calibri" w:cs="宋体"/>
      <w:b w:val="0"/>
      <w:position w:val="0"/>
      <w:sz w:val="18"/>
      <w:szCs w:val="24"/>
      <w:lang w:val="zh-CN"/>
    </w:rPr>
  </w:style>
  <w:style w:type="paragraph" w:styleId="1196" w:customStyle="1">
    <w:name w:val="xl26"/>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7" w:customStyle="1">
    <w:name w:val="正文1"/>
    <w:qFormat/>
    <w:pPr>
      <w:spacing w:line="360" w:lineRule="atLeast"/>
      <w:widowControl w:val="off"/>
    </w:pPr>
    <w:rPr>
      <w:rFonts w:ascii="宋体"/>
      <w:b/>
      <w:position w:val="-10"/>
      <w:sz w:val="24"/>
    </w:rPr>
  </w:style>
  <w:style w:type="paragraph" w:styleId="1198" w:customStyle="1">
    <w:name w:val="Char Char2"/>
    <w:basedOn w:val="977"/>
    <w:qFormat/>
    <w:rPr>
      <w:rFonts w:ascii="Tahoma" w:hAnsi="Tahoma" w:eastAsia="Calibri" w:cs="宋体"/>
      <w:b w:val="0"/>
      <w:position w:val="0"/>
      <w:lang w:val="zh-CN"/>
    </w:rPr>
  </w:style>
  <w:style w:type="paragraph" w:styleId="1199" w:customStyle="1">
    <w:name w:val="Default Text"/>
    <w:basedOn w:val="977"/>
    <w:qFormat/>
    <w:pPr>
      <w:jc w:val="left"/>
      <w:widowControl/>
    </w:pPr>
    <w:rPr>
      <w:rFonts w:ascii="Calibri" w:hAnsi="Calibri" w:eastAsia="Calibri" w:cs="宋体"/>
      <w:b w:val="0"/>
      <w:position w:val="0"/>
      <w:lang w:val="zh-CN" w:eastAsia="en-US"/>
    </w:rPr>
  </w:style>
  <w:style w:type="paragraph" w:styleId="1200" w:customStyle="1">
    <w:name w:val="正文文本缩进1"/>
    <w:basedOn w:val="977"/>
    <w:qFormat/>
    <w:pPr>
      <w:ind w:left="420"/>
      <w:spacing w:after="120"/>
    </w:pPr>
    <w:rPr>
      <w:rFonts w:ascii="Calibri" w:hAnsi="Calibri" w:eastAsia="Calibri" w:cs="宋体"/>
      <w:b w:val="0"/>
      <w:position w:val="0"/>
      <w:sz w:val="20"/>
      <w:szCs w:val="24"/>
      <w:lang w:val="zh-CN"/>
    </w:rPr>
  </w:style>
  <w:style w:type="paragraph" w:styleId="1201" w:customStyle="1">
    <w:name w:val="正文 首行缩进:  2 字符 Char"/>
    <w:basedOn w:val="977"/>
    <w:qFormat/>
    <w:pPr>
      <w:ind w:firstLine="480"/>
      <w:spacing w:line="360" w:lineRule="auto"/>
    </w:pPr>
    <w:rPr>
      <w:rFonts w:ascii="Calibri" w:hAnsi="Calibri" w:eastAsia="Calibri" w:cs="宋体"/>
      <w:b w:val="0"/>
      <w:position w:val="0"/>
      <w:lang w:val="zh-CN"/>
    </w:rPr>
  </w:style>
  <w:style w:type="paragraph" w:styleId="1202" w:customStyle="1">
    <w:name w:val="正文表标题"/>
    <w:next w:val="1055"/>
    <w:qFormat/>
    <w:pPr>
      <w:ind w:left="900" w:hanging="420"/>
      <w:jc w:val="center"/>
      <w:tabs>
        <w:tab w:val="left" w:pos="900" w:leader="none"/>
      </w:tabs>
    </w:pPr>
    <w:rPr>
      <w:rFonts w:ascii="黑体" w:eastAsia="黑体"/>
      <w:sz w:val="21"/>
    </w:rPr>
  </w:style>
  <w:style w:type="paragraph" w:styleId="1203" w:customStyle="1">
    <w:name w:val="正文 居中"/>
    <w:basedOn w:val="977"/>
    <w:qFormat/>
    <w:pPr>
      <w:jc w:val="center"/>
      <w:spacing w:line="360" w:lineRule="auto"/>
    </w:pPr>
    <w:rPr>
      <w:rFonts w:ascii="Calibri" w:hAnsi="Calibri" w:eastAsia="Calibri" w:cs="宋体"/>
      <w:b w:val="0"/>
      <w:position w:val="0"/>
      <w:lang w:val="zh-CN"/>
    </w:rPr>
  </w:style>
  <w:style w:type="paragraph" w:styleId="1204" w:customStyle="1">
    <w:name w:val="Char Char Char1"/>
    <w:basedOn w:val="998"/>
    <w:qFormat/>
    <w:pPr>
      <w:spacing w:line="436" w:lineRule="exact"/>
    </w:pPr>
    <w:rPr>
      <w:b w:val="0"/>
      <w:position w:val="0"/>
      <w:sz w:val="21"/>
      <w:szCs w:val="24"/>
    </w:rPr>
  </w:style>
  <w:style w:type="paragraph" w:styleId="1205" w:customStyle="1">
    <w:name w:val="样式1"/>
    <w:basedOn w:val="977"/>
    <w:next w:val="981"/>
    <w:qFormat/>
    <w:pPr>
      <w:ind w:firstLine="480"/>
      <w:spacing w:line="300" w:lineRule="auto"/>
    </w:pPr>
  </w:style>
  <w:style w:type="paragraph" w:styleId="1206" w:customStyle="1">
    <w:name w:val="正文缩进1"/>
    <w:basedOn w:val="977"/>
    <w:link w:val="1207"/>
    <w:qFormat/>
    <w:pPr>
      <w:ind w:firstLine="420"/>
    </w:pPr>
    <w:rPr>
      <w:rFonts w:ascii="Times New Roman"/>
      <w:b w:val="0"/>
      <w:position w:val="0"/>
      <w:sz w:val="20"/>
    </w:rPr>
  </w:style>
  <w:style w:type="character" w:styleId="1207" w:customStyle="1">
    <w:name w:val="正文缩进 Char1"/>
    <w:link w:val="1206"/>
    <w:qFormat/>
  </w:style>
  <w:style w:type="paragraph" w:styleId="1208" w:customStyle="1">
    <w:name w:val="1"/>
    <w:basedOn w:val="977"/>
    <w:next w:val="1033"/>
    <w:qFormat/>
    <w:pPr>
      <w:spacing w:line="360" w:lineRule="auto"/>
    </w:pPr>
    <w:rPr>
      <w:rFonts w:ascii="Calibri" w:hAnsi="Calibri" w:eastAsia="仿宋_GB2312" w:cs="宋体"/>
      <w:b w:val="0"/>
      <w:position w:val="0"/>
      <w:szCs w:val="24"/>
      <w:lang w:val="zh-CN"/>
    </w:rPr>
  </w:style>
  <w:style w:type="paragraph" w:styleId="1209" w:customStyle="1">
    <w:name w:val="Char Char Char Char Char Char Char Char Char Char Char"/>
    <w:basedOn w:val="977"/>
    <w:qFormat/>
    <w:rPr>
      <w:rFonts w:ascii="Tahoma" w:hAnsi="Tahoma" w:eastAsia="Calibri" w:cs="宋体"/>
      <w:b w:val="0"/>
      <w:position w:val="0"/>
      <w:lang w:val="zh-CN"/>
    </w:rPr>
  </w:style>
  <w:style w:type="paragraph" w:styleId="1210" w:customStyle="1">
    <w:name w:val="样式"/>
    <w:basedOn w:val="977"/>
    <w:qFormat/>
    <w:pPr>
      <w:spacing w:before="120" w:after="120" w:line="360" w:lineRule="auto"/>
    </w:pPr>
    <w:rPr>
      <w:rFonts w:hAnsi="Calibri" w:eastAsia="Calibri" w:cs="宋体"/>
      <w:b w:val="0"/>
      <w:position w:val="0"/>
      <w:lang w:val="zh-CN"/>
    </w:rPr>
  </w:style>
  <w:style w:type="paragraph" w:styleId="1211" w:customStyle="1">
    <w:name w:val="xl31"/>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12" w:customStyle="1">
    <w:name w:val="纯文本1"/>
    <w:basedOn w:val="977"/>
    <w:qFormat/>
    <w:rPr>
      <w:rFonts w:hAnsi="宋体" w:eastAsia="楷体_GB2312" w:cs="宋体"/>
      <w:b w:val="0"/>
      <w:position w:val="0"/>
      <w:sz w:val="28"/>
      <w:lang w:val="zh-CN"/>
    </w:rPr>
  </w:style>
  <w:style w:type="paragraph" w:styleId="1213" w:customStyle="1">
    <w:name w:val="表格1"/>
    <w:basedOn w:val="977"/>
    <w:qFormat/>
    <w:rPr>
      <w:rFonts w:hAnsi="Calibri" w:eastAsia="Calibri" w:cs="宋体"/>
      <w:b w:val="0"/>
      <w:position w:val="0"/>
      <w:sz w:val="20"/>
      <w:szCs w:val="21"/>
      <w:lang w:val="zh-CN"/>
    </w:rPr>
  </w:style>
  <w:style w:type="paragraph" w:styleId="1214" w:customStyle="1">
    <w:name w:val="Char"/>
    <w:basedOn w:val="977"/>
    <w:semiHidden/>
    <w:qFormat/>
    <w:rPr>
      <w:rFonts w:ascii="Tahoma" w:hAnsi="Tahoma" w:eastAsia="Calibri" w:cs="仿宋_GB2312"/>
      <w:b w:val="0"/>
      <w:position w:val="0"/>
      <w:szCs w:val="28"/>
      <w:lang w:val="zh-CN"/>
    </w:rPr>
  </w:style>
  <w:style w:type="paragraph" w:styleId="1215" w:customStyle="1">
    <w:name w:val="正文缩进2字符"/>
    <w:basedOn w:val="977"/>
    <w:qFormat/>
    <w:pPr>
      <w:ind w:firstLine="200"/>
      <w:spacing w:line="300" w:lineRule="auto"/>
    </w:pPr>
    <w:rPr>
      <w:rFonts w:ascii="仿宋_GB2312" w:hAnsi="Calibri" w:eastAsia="仿宋_GB2312" w:cs="宋体"/>
      <w:b w:val="0"/>
      <w:position w:val="0"/>
      <w:sz w:val="32"/>
      <w:szCs w:val="32"/>
      <w:lang w:val="zh-CN"/>
    </w:rPr>
  </w:style>
  <w:style w:type="paragraph" w:styleId="1216" w:customStyle="1">
    <w:name w:val="Char1"/>
    <w:basedOn w:val="977"/>
    <w:qFormat/>
    <w:rPr>
      <w:rFonts w:ascii="仿宋_GB2312" w:hAnsi="宋体" w:eastAsia="仿宋_GB2312" w:cs="宋体"/>
      <w:position w:val="0"/>
      <w:sz w:val="32"/>
      <w:szCs w:val="32"/>
      <w:lang w:val="zh-CN"/>
    </w:rPr>
  </w:style>
  <w:style w:type="paragraph" w:styleId="1217" w:customStyle="1">
    <w:name w:val="样式 样式 首行缩进:  2 字符 + 行距: 1.5 倍行距"/>
    <w:basedOn w:val="977"/>
    <w:qFormat/>
    <w:pPr>
      <w:ind w:firstLine="470"/>
      <w:spacing w:line="360" w:lineRule="auto"/>
    </w:pPr>
    <w:rPr>
      <w:rFonts w:ascii="Calibri" w:hAnsi="Calibri" w:eastAsia="Calibri" w:cs="宋体"/>
      <w:b w:val="0"/>
      <w:position w:val="0"/>
      <w:lang w:val="zh-CN"/>
    </w:rPr>
  </w:style>
  <w:style w:type="paragraph" w:styleId="1218" w:customStyle="1">
    <w:name w:val="符号与编号 Char Char"/>
    <w:basedOn w:val="977"/>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19" w:customStyle="1">
    <w:name w:val="Char Char1 Char1"/>
    <w:basedOn w:val="977"/>
    <w:qFormat/>
    <w:pPr>
      <w:jc w:val="left"/>
      <w:spacing w:after="160" w:line="240" w:lineRule="exact"/>
      <w:widowControl/>
    </w:pPr>
    <w:rPr>
      <w:rFonts w:ascii="Verdana" w:hAnsi="Verdana" w:eastAsia="Calibri" w:cs="宋体"/>
      <w:b w:val="0"/>
      <w:position w:val="0"/>
      <w:sz w:val="20"/>
      <w:lang w:val="zh-CN" w:eastAsia="en-US"/>
    </w:rPr>
  </w:style>
  <w:style w:type="paragraph" w:styleId="1220" w:customStyle="1">
    <w:name w:val="Char11"/>
    <w:basedOn w:val="977"/>
    <w:qFormat/>
    <w:pPr>
      <w:jc w:val="left"/>
      <w:spacing w:after="160" w:line="240" w:lineRule="exact"/>
      <w:widowControl/>
    </w:pPr>
    <w:rPr>
      <w:rFonts w:ascii="Verdana" w:hAnsi="Verdana" w:eastAsia="仿宋_GB2312" w:cs="宋体"/>
      <w:b w:val="0"/>
      <w:position w:val="0"/>
      <w:lang w:val="zh-CN" w:eastAsia="en-US"/>
    </w:rPr>
  </w:style>
  <w:style w:type="paragraph" w:styleId="1221" w:customStyle="1">
    <w:name w:val="样式 样式 首行缩进:  0.74 厘米 行距: 1.5 倍行距 + 段后: 0.5 行"/>
    <w:basedOn w:val="977"/>
    <w:qFormat/>
    <w:pPr>
      <w:ind w:firstLine="420"/>
      <w:spacing w:line="360" w:lineRule="auto"/>
    </w:pPr>
    <w:rPr>
      <w:rFonts w:ascii="楷体_GB2312" w:hAnsi="Calibri" w:eastAsia="楷体_GB2312" w:cs="宋体"/>
      <w:b w:val="0"/>
      <w:bCs/>
      <w:position w:val="0"/>
      <w:lang w:val="zh-CN"/>
    </w:rPr>
  </w:style>
  <w:style w:type="paragraph" w:styleId="1222" w:customStyle="1">
    <w:name w:val="Table Text Char"/>
    <w:qFormat/>
    <w:pPr>
      <w:spacing w:before="80" w:after="80"/>
    </w:pPr>
    <w:rPr>
      <w:rFonts w:ascii="Arial" w:hAnsi="Arial" w:cs="Arial"/>
      <w:sz w:val="18"/>
      <w:szCs w:val="28"/>
    </w:rPr>
  </w:style>
  <w:style w:type="paragraph" w:styleId="1223" w:customStyle="1">
    <w:name w:val="Char Char Char Char"/>
    <w:basedOn w:val="998"/>
    <w:qFormat/>
    <w:pPr>
      <w:spacing w:line="360" w:lineRule="auto"/>
    </w:pPr>
    <w:rPr>
      <w:rFonts w:ascii="Tahoma" w:hAnsi="Tahoma"/>
      <w:szCs w:val="24"/>
    </w:rPr>
  </w:style>
  <w:style w:type="paragraph" w:styleId="1224" w:customStyle="1">
    <w:name w:val="xl54"/>
    <w:basedOn w:val="9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25" w:customStyle="1">
    <w:name w:val="正文文本 21"/>
    <w:basedOn w:val="977"/>
    <w:qFormat/>
    <w:pPr>
      <w:ind w:left="720" w:hanging="720"/>
      <w:widowControl/>
    </w:pPr>
    <w:rPr>
      <w:rFonts w:ascii="Calibri" w:hAnsi="Calibri" w:eastAsia="Calibri" w:cs="宋体"/>
      <w:b w:val="0"/>
      <w:position w:val="0"/>
      <w:lang w:val="en-GB"/>
    </w:rPr>
  </w:style>
  <w:style w:type="paragraph" w:styleId="1226" w:customStyle="1">
    <w:name w:val="Char Char Char Char Char Char Char Char"/>
    <w:basedOn w:val="977"/>
    <w:qFormat/>
    <w:pPr>
      <w:jc w:val="left"/>
      <w:spacing w:after="160" w:line="240" w:lineRule="exact"/>
      <w:widowControl/>
    </w:pPr>
    <w:rPr>
      <w:rFonts w:ascii="Verdana" w:hAnsi="Verdana"/>
      <w:sz w:val="20"/>
      <w:lang w:eastAsia="en-US"/>
    </w:rPr>
  </w:style>
  <w:style w:type="paragraph" w:styleId="1227" w:customStyle="1">
    <w:name w:val="qw"/>
    <w:qFormat/>
    <w:pPr>
      <w:jc w:val="both"/>
      <w:spacing w:line="312" w:lineRule="atLeast"/>
      <w:widowControl w:val="off"/>
    </w:pPr>
    <w:rPr>
      <w:rFonts w:ascii="宋体"/>
      <w:sz w:val="24"/>
    </w:rPr>
  </w:style>
  <w:style w:type="paragraph" w:styleId="1228" w:customStyle="1">
    <w:name w:val="小四 段落 宋体 Char Char Char Char"/>
    <w:basedOn w:val="977"/>
    <w:qFormat/>
    <w:pPr>
      <w:ind w:right="-33" w:firstLine="480"/>
      <w:jc w:val="left"/>
      <w:spacing w:line="360" w:lineRule="auto"/>
    </w:pPr>
    <w:rPr>
      <w:rFonts w:ascii="Calibri" w:hAnsi="Calibri" w:eastAsia="Calibri" w:cs="宋体"/>
      <w:b w:val="0"/>
      <w:position w:val="0"/>
      <w:szCs w:val="24"/>
      <w:lang w:val="zh-CN"/>
    </w:rPr>
  </w:style>
  <w:style w:type="paragraph" w:styleId="1229" w:customStyle="1">
    <w:name w:val="zw"/>
    <w:basedOn w:val="977"/>
    <w:qFormat/>
    <w:pPr>
      <w:ind w:firstLine="480"/>
      <w:jc w:val="left"/>
      <w:spacing w:line="360" w:lineRule="auto"/>
      <w:widowControl/>
    </w:pPr>
    <w:rPr>
      <w:rFonts w:hAnsi="宋体" w:eastAsia="Calibri" w:cs="宋体"/>
      <w:b w:val="0"/>
      <w:bCs/>
      <w:position w:val="0"/>
      <w:lang w:val="zh-CN"/>
    </w:rPr>
  </w:style>
  <w:style w:type="paragraph" w:styleId="1230" w:customStyle="1">
    <w:name w:val="Char Char Char Char Char Char Char Char1"/>
    <w:basedOn w:val="977"/>
    <w:qFormat/>
    <w:rPr>
      <w:rFonts w:ascii="Tahoma" w:hAnsi="Tahoma" w:eastAsia="Calibri" w:cs="Tahoma"/>
      <w:b w:val="0"/>
      <w:position w:val="0"/>
      <w:lang w:val="zh-CN"/>
    </w:rPr>
  </w:style>
  <w:style w:type="paragraph" w:styleId="1231" w:customStyle="1">
    <w:name w:val="xl42"/>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32" w:customStyle="1">
    <w:name w:val="Char Char Char Char Char Char Char Char Char Char Char Char Char"/>
    <w:basedOn w:val="998"/>
    <w:qFormat/>
    <w:rPr>
      <w:rFonts w:ascii="Tahoma" w:hAnsi="Tahoma"/>
      <w:b w:val="0"/>
      <w:position w:val="0"/>
      <w:szCs w:val="24"/>
    </w:rPr>
  </w:style>
  <w:style w:type="paragraph" w:styleId="1233" w:customStyle="1">
    <w:name w:val="_Style 42"/>
    <w:basedOn w:val="977"/>
    <w:next w:val="1003"/>
    <w:qFormat/>
    <w:rPr>
      <w:rFonts w:ascii="楷体_GB2312" w:hAnsi="Arial" w:eastAsia="楷体_GB2312" w:cs="宋体"/>
      <w:b w:val="0"/>
      <w:position w:val="0"/>
      <w:sz w:val="28"/>
      <w:lang w:val="zh-CN"/>
    </w:rPr>
  </w:style>
  <w:style w:type="paragraph" w:styleId="1234" w:customStyle="1">
    <w:name w:val="Char Char Char Char Char Char Char1"/>
    <w:basedOn w:val="977"/>
    <w:qFormat/>
    <w:pPr>
      <w:jc w:val="left"/>
    </w:pPr>
    <w:rPr>
      <w:rFonts w:ascii="Tahoma" w:hAnsi="Tahoma" w:eastAsia="Calibri" w:cs="宋体"/>
      <w:b w:val="0"/>
      <w:position w:val="0"/>
      <w:lang w:val="zh-CN"/>
    </w:rPr>
  </w:style>
  <w:style w:type="paragraph" w:styleId="1235" w:customStyle="1">
    <w:name w:val="样式 样式 标题 3H3sect1.2.3BOD 0Heading 3 - oldh3l3CTLevel 3 Head... +..."/>
    <w:basedOn w:val="977"/>
    <w:qFormat/>
    <w:pPr>
      <w:jc w:val="left"/>
      <w:keepLines/>
      <w:keepNext/>
      <w:outlineLvl w:val="2"/>
    </w:pPr>
    <w:rPr>
      <w:rFonts w:ascii="Calibri" w:hAnsi="Calibri" w:eastAsia="Calibri" w:cs="宋体"/>
      <w:bCs/>
      <w:position w:val="0"/>
      <w:lang w:val="zh-CN"/>
    </w:rPr>
  </w:style>
  <w:style w:type="paragraph" w:styleId="1236" w:customStyle="1">
    <w:name w:val="条1"/>
    <w:basedOn w:val="97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37" w:customStyle="1">
    <w:name w:val="flType"/>
    <w:basedOn w:val="1113"/>
    <w:qFormat/>
    <w:pPr>
      <w:spacing w:after="284"/>
    </w:pPr>
    <w:rPr>
      <w:rFonts w:eastAsia="宋体"/>
      <w:b w:val="0"/>
    </w:rPr>
  </w:style>
  <w:style w:type="paragraph" w:styleId="1238" w:customStyle="1">
    <w:name w:val="Char Char Char Char Char Char"/>
    <w:basedOn w:val="977"/>
    <w:qFormat/>
    <w:rPr>
      <w:rFonts w:ascii="Tahoma" w:hAnsi="Tahoma" w:eastAsia="Calibri" w:cs="Tahoma"/>
      <w:b w:val="0"/>
      <w:position w:val="0"/>
      <w:lang w:val="zh-CN"/>
    </w:rPr>
  </w:style>
  <w:style w:type="paragraph" w:styleId="1239" w:customStyle="1">
    <w:name w:val="xl25"/>
    <w:basedOn w:val="97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40" w:customStyle="1">
    <w:name w:val="项目符号，一级"/>
    <w:basedOn w:val="1091"/>
    <w:next w:val="1091"/>
    <w:qFormat/>
    <w:pPr>
      <w:ind w:left="376" w:firstLine="0"/>
      <w:spacing w:line="240" w:lineRule="atLeast"/>
      <w:tabs>
        <w:tab w:val="left" w:pos="1320" w:leader="none"/>
      </w:tabs>
    </w:pPr>
    <w:rPr>
      <w:bCs w:val="0"/>
      <w:color w:val="000000"/>
      <w:szCs w:val="24"/>
    </w:rPr>
  </w:style>
  <w:style w:type="paragraph" w:styleId="1241" w:customStyle="1">
    <w:name w:val="Char2"/>
    <w:basedOn w:val="977"/>
    <w:qFormat/>
    <w:pPr>
      <w:jc w:val="left"/>
      <w:spacing w:after="160" w:line="240" w:lineRule="exact"/>
      <w:widowControl/>
    </w:pPr>
    <w:rPr>
      <w:rFonts w:ascii="Verdana" w:hAnsi="Verdana"/>
      <w:sz w:val="20"/>
      <w:lang w:eastAsia="en-US"/>
    </w:rPr>
  </w:style>
  <w:style w:type="paragraph" w:styleId="1242" w:customStyle="1">
    <w:name w:val="_Style 226"/>
    <w:basedOn w:val="978"/>
    <w:next w:val="977"/>
    <w:qFormat/>
    <w:pPr>
      <w:jc w:val="left"/>
      <w:keepLines/>
      <w:spacing w:before="480" w:line="276" w:lineRule="auto"/>
      <w:widowControl/>
      <w:outlineLvl w:val="9"/>
    </w:pPr>
    <w:rPr>
      <w:rFonts w:ascii="Cambria" w:hAnsi="Cambria" w:eastAsia="宋体"/>
      <w:bCs/>
      <w:color w:val="365f91"/>
    </w:rPr>
  </w:style>
  <w:style w:type="paragraph" w:styleId="1243" w:customStyle="1">
    <w:name w:val="xl53"/>
    <w:basedOn w:val="9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4" w:customStyle="1">
    <w:name w:val="Char Char Char Char Char Char Char Char Char"/>
    <w:basedOn w:val="977"/>
    <w:qFormat/>
    <w:pPr>
      <w:ind w:left="200" w:hanging="200"/>
      <w:tabs>
        <w:tab w:val="left" w:pos="360" w:leader="none"/>
      </w:tabs>
    </w:pPr>
    <w:rPr>
      <w:rFonts w:ascii="Calibri" w:hAnsi="Calibri" w:eastAsia="Calibri" w:cs="宋体"/>
      <w:b w:val="0"/>
      <w:position w:val="0"/>
      <w:szCs w:val="24"/>
      <w:lang w:val="zh-CN"/>
    </w:rPr>
  </w:style>
  <w:style w:type="paragraph" w:styleId="1245" w:customStyle="1">
    <w:name w:val="xl30"/>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46" w:customStyle="1">
    <w:name w:val="greytypebeni"/>
    <w:basedOn w:val="977"/>
    <w:qFormat/>
    <w:pPr>
      <w:jc w:val="left"/>
      <w:widowControl/>
    </w:pPr>
    <w:rPr>
      <w:rFonts w:hAnsi="宋体" w:eastAsia="Calibri" w:cs="宋体"/>
      <w:b w:val="0"/>
      <w:position w:val="0"/>
      <w:szCs w:val="24"/>
      <w:lang w:val="zh-CN"/>
    </w:rPr>
  </w:style>
  <w:style w:type="paragraph" w:styleId="1247" w:customStyle="1">
    <w:name w:val="标题5，章节第五层"/>
    <w:basedOn w:val="977"/>
    <w:next w:val="97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48" w:customStyle="1">
    <w:name w:val="样式3"/>
    <w:basedOn w:val="977"/>
    <w:next w:val="977"/>
    <w:qFormat/>
    <w:pPr>
      <w:spacing w:line="360" w:lineRule="auto"/>
    </w:pPr>
    <w:rPr>
      <w:rFonts w:ascii="Calibri" w:hAnsi="Calibri" w:eastAsia="Calibri" w:cs="宋体"/>
      <w:b w:val="0"/>
      <w:position w:val="0"/>
      <w:sz w:val="20"/>
      <w:lang w:val="zh-CN"/>
    </w:rPr>
  </w:style>
  <w:style w:type="paragraph" w:styleId="1249" w:customStyle="1">
    <w:name w:val="样式2"/>
    <w:basedOn w:val="977"/>
    <w:qFormat/>
    <w:pPr>
      <w:ind w:left="200"/>
      <w:spacing w:line="360" w:lineRule="auto"/>
    </w:pPr>
    <w:rPr>
      <w:rFonts w:hAnsi="宋体" w:eastAsia="Calibri" w:cs="宋体"/>
      <w:position w:val="0"/>
      <w:szCs w:val="24"/>
      <w:lang w:val="zh-CN"/>
    </w:rPr>
  </w:style>
  <w:style w:type="paragraph" w:styleId="1250" w:customStyle="1">
    <w:name w:val="列出段落11"/>
    <w:basedOn w:val="977"/>
    <w:uiPriority w:val="34"/>
    <w:qFormat/>
    <w:pPr>
      <w:ind w:firstLine="420"/>
    </w:pPr>
    <w:rPr>
      <w:rFonts w:ascii="Calibri" w:hAnsi="Calibri" w:eastAsia="Calibri" w:cs="宋体"/>
      <w:b w:val="0"/>
      <w:position w:val="0"/>
      <w:sz w:val="20"/>
      <w:szCs w:val="24"/>
      <w:lang w:val="zh-CN"/>
    </w:rPr>
  </w:style>
  <w:style w:type="paragraph" w:styleId="1251" w:customStyle="1">
    <w:name w:val="论文正文"/>
    <w:basedOn w:val="1014"/>
    <w:qFormat/>
    <w:pPr>
      <w:ind w:left="0" w:firstLine="200"/>
      <w:jc w:val="left"/>
      <w:spacing w:line="360" w:lineRule="auto"/>
    </w:pPr>
    <w:rPr>
      <w:rFonts w:ascii="Times New Roman" w:hAnsi="Times New Roman"/>
      <w:sz w:val="28"/>
      <w:szCs w:val="24"/>
    </w:rPr>
  </w:style>
  <w:style w:type="paragraph" w:styleId="1252" w:customStyle="1">
    <w:name w:val="Char Char11"/>
    <w:basedOn w:val="977"/>
    <w:qFormat/>
    <w:rPr>
      <w:rFonts w:ascii="Tahoma" w:hAnsi="Tahoma" w:eastAsia="Calibri" w:cs="宋体"/>
      <w:b w:val="0"/>
      <w:position w:val="0"/>
      <w:lang w:val="zh-CN"/>
    </w:rPr>
  </w:style>
  <w:style w:type="paragraph" w:styleId="1253" w:customStyle="1">
    <w:name w:val="a0"/>
    <w:basedOn w:val="977"/>
    <w:qFormat/>
    <w:pPr>
      <w:spacing w:before="100" w:beforeAutospacing="1" w:after="100" w:afterAutospacing="1"/>
      <w:widowControl/>
    </w:pPr>
    <w:rPr>
      <w:rFonts w:hAnsi="宋体" w:eastAsia="Calibri" w:cs="宋体"/>
      <w:b w:val="0"/>
      <w:position w:val="0"/>
      <w:szCs w:val="24"/>
      <w:lang w:val="zh-CN"/>
    </w:rPr>
  </w:style>
  <w:style w:type="paragraph" w:styleId="1254" w:customStyle="1">
    <w:name w:val="xl44"/>
    <w:basedOn w:val="97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55" w:customStyle="1">
    <w:name w:val="正文--表格内正文"/>
    <w:basedOn w:val="977"/>
    <w:qFormat/>
    <w:pPr>
      <w:jc w:val="center"/>
      <w:spacing w:line="0" w:lineRule="atLeast"/>
    </w:pPr>
    <w:rPr>
      <w:rFonts w:hAnsi="宋体" w:eastAsia="Calibri" w:cs="宋体"/>
      <w:b w:val="0"/>
      <w:color w:val="000000"/>
      <w:position w:val="0"/>
      <w:szCs w:val="24"/>
      <w:lang w:val="zh-CN"/>
    </w:rPr>
  </w:style>
  <w:style w:type="paragraph" w:styleId="1256" w:customStyle="1">
    <w:name w:val="xl63"/>
    <w:basedOn w:val="97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57" w:customStyle="1">
    <w:name w:val="7"/>
    <w:basedOn w:val="977"/>
    <w:next w:val="1035"/>
    <w:qFormat/>
    <w:pPr>
      <w:jc w:val="left"/>
      <w:spacing w:before="100" w:beforeAutospacing="1" w:after="100" w:afterAutospacing="1"/>
      <w:widowControl/>
    </w:pPr>
    <w:rPr>
      <w:rFonts w:hAnsi="宋体" w:eastAsia="Calibri" w:cs="宋体"/>
      <w:b w:val="0"/>
      <w:position w:val="0"/>
      <w:lang w:val="zh-CN"/>
    </w:rPr>
  </w:style>
  <w:style w:type="paragraph" w:styleId="1258" w:customStyle="1">
    <w:name w:val="列出段落2"/>
    <w:basedOn w:val="977"/>
    <w:qFormat/>
    <w:pPr>
      <w:ind w:left="720"/>
      <w:jc w:val="left"/>
      <w:widowControl/>
    </w:pPr>
    <w:rPr>
      <w:rFonts w:ascii="Arial" w:hAnsi="Arial" w:eastAsia="黑体" w:cs="Arial"/>
      <w:b w:val="0"/>
      <w:position w:val="0"/>
      <w:szCs w:val="24"/>
      <w:lang w:val="zh-CN" w:eastAsia="en-US"/>
    </w:rPr>
  </w:style>
  <w:style w:type="paragraph" w:styleId="1259" w:customStyle="1">
    <w:name w:val="xl59"/>
    <w:basedOn w:val="97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0" w:customStyle="1">
    <w:name w:val="Char Char Char Char1 Char Char Char"/>
    <w:basedOn w:val="998"/>
    <w:qFormat/>
    <w:pPr>
      <w:spacing w:line="360" w:lineRule="auto"/>
    </w:pPr>
    <w:rPr>
      <w:rFonts w:ascii="Tahoma" w:hAnsi="Tahoma"/>
      <w:szCs w:val="24"/>
    </w:rPr>
  </w:style>
  <w:style w:type="paragraph" w:styleId="1261" w:customStyle="1">
    <w:name w:val="表格内容"/>
    <w:basedOn w:val="977"/>
    <w:qFormat/>
    <w:pPr>
      <w:jc w:val="center"/>
      <w:spacing w:before="60" w:line="300" w:lineRule="auto"/>
      <w:widowControl/>
    </w:pPr>
    <w:rPr>
      <w:rFonts w:ascii="Calibri" w:hAnsi="Calibri" w:eastAsia="Calibri" w:cs="宋体"/>
      <w:b w:val="0"/>
      <w:position w:val="0"/>
      <w:sz w:val="20"/>
      <w:lang w:val="zh-CN"/>
    </w:rPr>
  </w:style>
  <w:style w:type="paragraph" w:styleId="1262" w:customStyle="1">
    <w:name w:val="列表内容"/>
    <w:basedOn w:val="977"/>
    <w:next w:val="97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63" w:customStyle="1">
    <w:name w:val="Char Char Char Char Char Char Char1 Char"/>
    <w:basedOn w:val="977"/>
    <w:qFormat/>
    <w:rPr>
      <w:rFonts w:ascii="Tahoma" w:hAnsi="Tahoma" w:eastAsia="Calibri" w:cs="Tahoma"/>
      <w:b w:val="0"/>
      <w:position w:val="0"/>
      <w:lang w:val="zh-CN"/>
    </w:rPr>
  </w:style>
  <w:style w:type="paragraph" w:styleId="1264" w:customStyle="1">
    <w:name w:val="项目符号，二级"/>
    <w:basedOn w:val="1091"/>
    <w:next w:val="1091"/>
    <w:qFormat/>
    <w:pPr>
      <w:ind w:left="1337" w:right="-27" w:firstLine="480"/>
      <w:tabs>
        <w:tab w:val="left" w:pos="360" w:leader="none"/>
        <w:tab w:val="left" w:pos="1211" w:leader="none"/>
        <w:tab w:val="left" w:pos="1337" w:leader="none"/>
      </w:tabs>
    </w:pPr>
    <w:rPr>
      <w:bCs w:val="0"/>
      <w:color w:val="000000"/>
      <w:sz w:val="24"/>
      <w:szCs w:val="24"/>
    </w:rPr>
  </w:style>
  <w:style w:type="paragraph" w:styleId="1265" w:customStyle="1">
    <w:name w:val="xl32"/>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6" w:customStyle="1">
    <w:name w:val="Bullets L1"/>
    <w:basedOn w:val="97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67" w:customStyle="1">
    <w:name w:val="Body Text 21"/>
    <w:basedOn w:val="977"/>
    <w:qFormat/>
    <w:pPr>
      <w:ind w:left="720" w:hanging="720"/>
      <w:widowControl/>
    </w:pPr>
    <w:rPr>
      <w:rFonts w:ascii="Calibri" w:hAnsi="Calibri" w:eastAsia="Calibri" w:cs="宋体"/>
      <w:b w:val="0"/>
      <w:position w:val="0"/>
      <w:lang w:val="en-GB"/>
    </w:rPr>
  </w:style>
  <w:style w:type="paragraph" w:styleId="1268" w:customStyle="1">
    <w:name w:val="方案正文"/>
    <w:basedOn w:val="977"/>
    <w:qFormat/>
    <w:pPr>
      <w:ind w:firstLine="359"/>
      <w:jc w:val="left"/>
      <w:spacing w:before="156" w:line="360" w:lineRule="auto"/>
    </w:pPr>
    <w:rPr>
      <w:rFonts w:ascii="Arial" w:hAnsi="Arial" w:eastAsia="Calibri" w:cs="宋体"/>
      <w:b w:val="0"/>
      <w:position w:val="0"/>
      <w:szCs w:val="21"/>
      <w:lang w:val="zh-CN"/>
    </w:rPr>
  </w:style>
  <w:style w:type="paragraph" w:styleId="1269" w:customStyle="1">
    <w:name w:val="xl62"/>
    <w:basedOn w:val="9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0" w:customStyle="1">
    <w:name w:val="xl57"/>
    <w:basedOn w:val="97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71" w:customStyle="1">
    <w:name w:val="Char Char1 Char Char Char Char1 Char Char Char Char Char Char"/>
    <w:basedOn w:val="977"/>
    <w:qFormat/>
    <w:rPr>
      <w:rFonts w:ascii="Tahoma" w:hAnsi="Tahoma" w:eastAsia="Calibri" w:cs="宋体"/>
      <w:b w:val="0"/>
      <w:position w:val="0"/>
      <w:lang w:val="zh-CN"/>
    </w:rPr>
  </w:style>
  <w:style w:type="paragraph" w:styleId="1272" w:customStyle="1">
    <w:name w:val="Char Char Char Char Char Char Char Char Char1"/>
    <w:basedOn w:val="977"/>
    <w:qFormat/>
    <w:pPr>
      <w:ind w:left="360" w:hanging="360"/>
      <w:tabs>
        <w:tab w:val="left" w:pos="360" w:leader="none"/>
      </w:tabs>
    </w:pPr>
    <w:rPr>
      <w:rFonts w:ascii="Calibri" w:hAnsi="Calibri" w:eastAsia="Calibri" w:cs="宋体"/>
      <w:b w:val="0"/>
      <w:position w:val="0"/>
      <w:szCs w:val="24"/>
      <w:lang w:val="zh-CN"/>
    </w:rPr>
  </w:style>
  <w:style w:type="paragraph" w:styleId="1273" w:customStyle="1">
    <w:name w:val="正文文本 22"/>
    <w:basedOn w:val="977"/>
    <w:qFormat/>
    <w:pPr>
      <w:ind w:left="720" w:hanging="720"/>
      <w:widowControl/>
    </w:pPr>
    <w:rPr>
      <w:rFonts w:ascii="Calibri" w:hAnsi="Calibri" w:eastAsia="Calibri" w:cs="宋体"/>
      <w:b w:val="0"/>
      <w:position w:val="0"/>
      <w:lang w:val="en-GB"/>
    </w:rPr>
  </w:style>
  <w:style w:type="paragraph" w:styleId="1274" w:customStyle="1">
    <w:name w:val="表蕊"/>
    <w:basedOn w:val="977"/>
    <w:qFormat/>
    <w:pPr>
      <w:jc w:val="left"/>
      <w:spacing w:line="320" w:lineRule="atLeast"/>
    </w:pPr>
    <w:rPr>
      <w:rFonts w:ascii="Calibri" w:hAnsi="Calibri" w:eastAsia="楷体_GB2312" w:cs="宋体"/>
      <w:b w:val="0"/>
      <w:spacing w:val="-10"/>
      <w:position w:val="0"/>
      <w:sz w:val="20"/>
      <w:lang w:val="zh-CN"/>
    </w:rPr>
  </w:style>
  <w:style w:type="paragraph" w:styleId="1275" w:customStyle="1">
    <w:name w:val="xl46"/>
    <w:basedOn w:val="97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76">
    <w:name w:val="No Spacing"/>
    <w:link w:val="1277"/>
    <w:qFormat/>
    <w:pPr>
      <w:jc w:val="both"/>
      <w:widowControl w:val="off"/>
    </w:pPr>
    <w:rPr>
      <w:rFonts w:ascii="Calibri" w:hAnsi="Calibri" w:eastAsia="微软雅黑"/>
      <w:sz w:val="24"/>
      <w:szCs w:val="22"/>
    </w:rPr>
  </w:style>
  <w:style w:type="character" w:styleId="1277" w:customStyle="1">
    <w:name w:val="无间隔 字符"/>
    <w:link w:val="1276"/>
    <w:qFormat/>
    <w:rPr>
      <w:rFonts w:ascii="Calibri" w:hAnsi="Calibri" w:eastAsia="微软雅黑"/>
      <w:sz w:val="24"/>
      <w:szCs w:val="22"/>
      <w:lang w:bidi="ar-SA"/>
    </w:rPr>
  </w:style>
  <w:style w:type="paragraph" w:styleId="1278" w:customStyle="1">
    <w:name w:val="二级条标题"/>
    <w:basedOn w:val="977"/>
    <w:next w:val="1055"/>
    <w:qFormat/>
    <w:pPr>
      <w:ind w:hanging="420"/>
      <w:widowControl/>
      <w:tabs>
        <w:tab w:val="left" w:pos="2240" w:leader="none"/>
      </w:tabs>
      <w:outlineLvl w:val="3"/>
    </w:pPr>
    <w:rPr>
      <w:rFonts w:ascii="Calibri" w:hAnsi="Calibri" w:eastAsia="黑体" w:cs="宋体"/>
      <w:b w:val="0"/>
      <w:position w:val="0"/>
      <w:sz w:val="20"/>
      <w:lang w:val="zh-CN"/>
    </w:rPr>
  </w:style>
  <w:style w:type="paragraph" w:styleId="1279" w:customStyle="1">
    <w:name w:val="部分1"/>
    <w:basedOn w:val="97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80">
    <w:name w:val="Intense Quote"/>
    <w:basedOn w:val="977"/>
    <w:next w:val="977"/>
    <w:link w:val="128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81" w:customStyle="1">
    <w:name w:val="明显引用 字符"/>
    <w:link w:val="1280"/>
    <w:qFormat/>
    <w:rPr>
      <w:rFonts w:ascii="Calibri" w:hAnsi="Calibri"/>
      <w:b/>
      <w:bCs/>
      <w:i/>
      <w:iCs/>
      <w:sz w:val="22"/>
      <w:szCs w:val="22"/>
      <w:lang w:eastAsia="en-US" w:bidi="en-US"/>
    </w:rPr>
  </w:style>
  <w:style w:type="paragraph" w:styleId="1282" w:customStyle="1">
    <w:name w:val="xl27"/>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3" w:customStyle="1">
    <w:name w:val="Table Paragraph"/>
    <w:basedOn w:val="977"/>
    <w:qFormat/>
    <w:rPr>
      <w:rFonts w:ascii="Times New Roman"/>
    </w:rPr>
  </w:style>
  <w:style w:type="paragraph" w:styleId="1284" w:customStyle="1">
    <w:name w:val="xl33"/>
    <w:basedOn w:val="9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5" w:customStyle="1">
    <w:name w:val="表格"/>
    <w:basedOn w:val="977"/>
    <w:qFormat/>
    <w:pPr>
      <w:ind w:firstLine="21"/>
    </w:pPr>
    <w:rPr>
      <w:rFonts w:hAnsi="宋体" w:eastAsia="Calibri" w:cs="宋体"/>
      <w:b w:val="0"/>
      <w:position w:val="0"/>
      <w:sz w:val="20"/>
      <w:lang w:val="zh-CN"/>
    </w:rPr>
  </w:style>
  <w:style w:type="paragraph" w:styleId="1286" w:customStyle="1">
    <w:name w:val="a"/>
    <w:basedOn w:val="977"/>
    <w:qFormat/>
    <w:pPr>
      <w:spacing w:before="100" w:beforeAutospacing="1" w:after="100" w:afterAutospacing="1"/>
      <w:widowControl/>
    </w:pPr>
    <w:rPr>
      <w:rFonts w:hAnsi="宋体" w:eastAsia="Calibri" w:cs="宋体"/>
      <w:b w:val="0"/>
      <w:position w:val="0"/>
      <w:szCs w:val="24"/>
      <w:lang w:val="zh-CN"/>
    </w:rPr>
  </w:style>
  <w:style w:type="paragraph" w:styleId="1287" w:customStyle="1">
    <w:name w:val="马刚标题4"/>
    <w:basedOn w:val="1127"/>
    <w:next w:val="977"/>
    <w:qFormat/>
    <w:pPr>
      <w:spacing w:before="100" w:after="40"/>
      <w:tabs>
        <w:tab w:val="clear" w:pos="567" w:leader="none"/>
        <w:tab w:val="clear" w:pos="735" w:leader="none"/>
        <w:tab w:val="left" w:pos="1050" w:leader="none"/>
      </w:tabs>
      <w:outlineLvl w:val="3"/>
    </w:pPr>
    <w:rPr>
      <w:b w:val="0"/>
    </w:rPr>
  </w:style>
  <w:style w:type="paragraph" w:styleId="1288" w:customStyle="1">
    <w:name w:val="Char Char Char Char Char Char Char Char Char Char Char Char Char Char Char Char Char Char Char Char Char Char Char1"/>
    <w:basedOn w:val="977"/>
    <w:qFormat/>
    <w:rPr>
      <w:rFonts w:ascii="Tahoma" w:hAnsi="Tahoma" w:eastAsia="Calibri" w:cs="Tahoma"/>
      <w:b w:val="0"/>
      <w:position w:val="0"/>
      <w:lang w:val="zh-CN"/>
    </w:rPr>
  </w:style>
  <w:style w:type="paragraph" w:styleId="1289" w:customStyle="1">
    <w:name w:val="No Spacing1"/>
    <w:qFormat/>
    <w:pPr>
      <w:jc w:val="both"/>
      <w:widowControl w:val="off"/>
    </w:pPr>
    <w:rPr>
      <w:rFonts w:ascii="Calibri" w:hAnsi="Calibri" w:eastAsia="微软雅黑"/>
      <w:sz w:val="24"/>
      <w:szCs w:val="22"/>
    </w:rPr>
  </w:style>
  <w:style w:type="paragraph" w:styleId="1290" w:customStyle="1">
    <w:name w:val="xl49"/>
    <w:basedOn w:val="97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91" w:customStyle="1">
    <w:name w:val="Char Char Char Char1"/>
    <w:basedOn w:val="998"/>
    <w:qFormat/>
    <w:rPr>
      <w:rFonts w:ascii="Tahoma" w:hAnsi="Tahoma"/>
      <w:szCs w:val="24"/>
    </w:rPr>
  </w:style>
  <w:style w:type="paragraph" w:styleId="1292" w:customStyle="1">
    <w:name w:val="Char Char Char Char Char Char Char Char Char Char Char1"/>
    <w:basedOn w:val="977"/>
    <w:qFormat/>
    <w:rPr>
      <w:rFonts w:ascii="Tahoma" w:hAnsi="Tahoma" w:eastAsia="Calibri" w:cs="Tahoma"/>
      <w:b w:val="0"/>
      <w:position w:val="0"/>
      <w:lang w:val="zh-CN"/>
    </w:rPr>
  </w:style>
  <w:style w:type="paragraph" w:styleId="1293" w:customStyle="1">
    <w:name w:val="font7"/>
    <w:basedOn w:val="977"/>
    <w:qFormat/>
    <w:pPr>
      <w:jc w:val="left"/>
      <w:spacing w:before="100" w:beforeAutospacing="1" w:after="100" w:afterAutospacing="1"/>
      <w:widowControl/>
    </w:pPr>
    <w:rPr>
      <w:rFonts w:hint="eastAsia" w:hAnsi="宋体" w:eastAsia="Calibri" w:cs="宋体"/>
      <w:bCs/>
      <w:position w:val="0"/>
      <w:szCs w:val="24"/>
      <w:lang w:val="zh-CN"/>
    </w:rPr>
  </w:style>
  <w:style w:type="paragraph" w:styleId="1294" w:customStyle="1">
    <w:name w:val="丁华标题1"/>
    <w:basedOn w:val="978"/>
    <w:next w:val="1134"/>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95" w:customStyle="1">
    <w:name w:val="Char Char Char Char Char Char Char Char Char Char Char Char Char Char Char Char Char Char Char Char Char1"/>
    <w:basedOn w:val="977"/>
    <w:qFormat/>
    <w:rPr>
      <w:rFonts w:ascii="Tahoma" w:hAnsi="Tahoma" w:eastAsia="Calibri" w:cs="宋体"/>
      <w:b w:val="0"/>
      <w:position w:val="0"/>
      <w:lang w:val="zh-CN"/>
    </w:rPr>
  </w:style>
  <w:style w:type="paragraph" w:styleId="1296" w:customStyle="1">
    <w:name w:val="标题 4宋体"/>
    <w:basedOn w:val="981"/>
    <w:qFormat/>
    <w:pPr>
      <w:jc w:val="left"/>
      <w:keepLines w:val="0"/>
      <w:spacing w:before="0" w:after="0" w:line="360" w:lineRule="auto"/>
    </w:pPr>
    <w:rPr>
      <w:rFonts w:ascii="宋体" w:hAnsi="宋体" w:eastAsia="宋体"/>
      <w:b/>
      <w:color w:val="000000"/>
      <w:position w:val="0"/>
      <w:sz w:val="24"/>
      <w:szCs w:val="20"/>
    </w:rPr>
  </w:style>
  <w:style w:type="paragraph" w:styleId="1297" w:customStyle="1">
    <w:name w:val="_Style 279"/>
    <w:semiHidden/>
    <w:qFormat/>
    <w:rPr>
      <w:sz w:val="21"/>
      <w:szCs w:val="24"/>
    </w:rPr>
  </w:style>
  <w:style w:type="paragraph" w:styleId="1298" w:customStyle="1">
    <w:name w:val="Item List Char Char"/>
    <w:qFormat/>
    <w:pPr>
      <w:jc w:val="both"/>
      <w:spacing w:line="288" w:lineRule="auto"/>
    </w:pPr>
    <w:rPr>
      <w:rFonts w:ascii="Arial" w:hAnsi="Arial" w:cs="Arial"/>
      <w:b/>
      <w:bCs/>
      <w:sz w:val="21"/>
      <w:szCs w:val="28"/>
    </w:rPr>
  </w:style>
  <w:style w:type="paragraph" w:styleId="1299" w:customStyle="1">
    <w:name w:val="Char Char Char Char Char Char Char Char Char Char Char Char Char1"/>
    <w:basedOn w:val="977"/>
    <w:qFormat/>
    <w:pPr>
      <w:jc w:val="left"/>
      <w:spacing w:after="160" w:line="240" w:lineRule="exact"/>
      <w:widowControl/>
    </w:pPr>
    <w:rPr>
      <w:rFonts w:ascii="Calibri" w:hAnsi="Calibri" w:eastAsia="Calibri" w:cs="宋体"/>
      <w:b w:val="0"/>
      <w:position w:val="0"/>
      <w:sz w:val="20"/>
      <w:szCs w:val="24"/>
      <w:lang w:val="zh-CN"/>
    </w:rPr>
  </w:style>
  <w:style w:type="paragraph" w:styleId="1300" w:customStyle="1">
    <w:name w:val="正文11"/>
    <w:basedOn w:val="977"/>
    <w:next w:val="977"/>
    <w:qFormat/>
    <w:pPr>
      <w:ind w:firstLine="510"/>
      <w:spacing w:before="156" w:line="360" w:lineRule="auto"/>
    </w:pPr>
    <w:rPr>
      <w:rFonts w:ascii="Calibri" w:hAnsi="Calibri" w:eastAsia="Calibri" w:cs="宋体"/>
      <w:b w:val="0"/>
      <w:position w:val="0"/>
      <w:lang w:val="zh-CN"/>
    </w:rPr>
  </w:style>
  <w:style w:type="paragraph" w:styleId="1301" w:customStyle="1">
    <w:name w:val="普通文字"/>
    <w:basedOn w:val="977"/>
    <w:next w:val="977"/>
    <w:qFormat/>
    <w:rPr>
      <w:rFonts w:hAnsi="宋体" w:eastAsia="Calibri" w:cs="宋体"/>
      <w:b w:val="0"/>
      <w:position w:val="0"/>
      <w:lang w:val="zh-CN"/>
    </w:rPr>
  </w:style>
  <w:style w:type="paragraph" w:styleId="1302" w:customStyle="1">
    <w:name w:val="Char Char Char Char Char1"/>
    <w:basedOn w:val="977"/>
    <w:qFormat/>
    <w:rPr>
      <w:rFonts w:ascii="Tahoma" w:hAnsi="Tahoma" w:eastAsia="Calibri" w:cs="宋体"/>
      <w:b w:val="0"/>
      <w:position w:val="0"/>
      <w:lang w:val="zh-CN"/>
    </w:rPr>
  </w:style>
  <w:style w:type="paragraph" w:styleId="1303" w:customStyle="1">
    <w:name w:val="标准文本"/>
    <w:basedOn w:val="977"/>
    <w:qFormat/>
    <w:pPr>
      <w:ind w:firstLine="480"/>
      <w:spacing w:line="360" w:lineRule="auto"/>
    </w:pPr>
    <w:rPr>
      <w:rFonts w:ascii="Calibri" w:hAnsi="Calibri" w:eastAsia="Calibri" w:cs="宋体"/>
      <w:b w:val="0"/>
      <w:position w:val="0"/>
      <w:szCs w:val="24"/>
      <w:lang w:val="zh-CN"/>
    </w:rPr>
  </w:style>
  <w:style w:type="paragraph" w:styleId="1304" w:customStyle="1">
    <w:name w:val="华宇段落1 Char"/>
    <w:basedOn w:val="977"/>
    <w:qFormat/>
    <w:pPr>
      <w:ind w:firstLine="200"/>
      <w:spacing w:line="360" w:lineRule="auto"/>
    </w:pPr>
    <w:rPr>
      <w:rFonts w:ascii="Calibri" w:hAnsi="Calibri" w:eastAsia="Calibri" w:cs="宋体"/>
      <w:b w:val="0"/>
      <w:bCs/>
      <w:position w:val="0"/>
      <w:szCs w:val="24"/>
      <w:lang w:val="zh-CN"/>
    </w:rPr>
  </w:style>
  <w:style w:type="paragraph" w:styleId="1305" w:customStyle="1">
    <w:name w:val="font6"/>
    <w:basedOn w:val="977"/>
    <w:qFormat/>
    <w:pPr>
      <w:jc w:val="left"/>
      <w:spacing w:before="100" w:beforeAutospacing="1" w:after="100" w:afterAutospacing="1"/>
      <w:widowControl/>
    </w:pPr>
    <w:rPr>
      <w:rFonts w:hint="eastAsia" w:hAnsi="宋体"/>
      <w:sz w:val="28"/>
      <w:szCs w:val="28"/>
      <w:u w:val="single"/>
    </w:rPr>
  </w:style>
  <w:style w:type="paragraph" w:styleId="1306" w:customStyle="1">
    <w:name w:val="列出段落1"/>
    <w:basedOn w:val="977"/>
    <w:link w:val="1417"/>
    <w:qFormat/>
    <w:pPr>
      <w:contextualSpacing/>
      <w:ind w:left="720"/>
      <w:jc w:val="left"/>
      <w:widowControl/>
    </w:pPr>
    <w:rPr>
      <w:rFonts w:ascii="Arial" w:hAnsi="Arial" w:eastAsia="黑体" w:cs="宋体"/>
      <w:b w:val="0"/>
      <w:position w:val="0"/>
      <w:szCs w:val="24"/>
      <w:lang w:val="zh-CN" w:eastAsia="en-US"/>
    </w:rPr>
  </w:style>
  <w:style w:type="paragraph" w:styleId="1307" w:customStyle="1">
    <w:name w:val="正文 New New New New New New New New New New New New New New"/>
    <w:qFormat/>
    <w:pPr>
      <w:jc w:val="both"/>
      <w:widowControl w:val="off"/>
    </w:pPr>
    <w:rPr>
      <w:rFonts w:hint="eastAsia" w:ascii="Calibri" w:hAnsi="Calibri"/>
      <w:sz w:val="21"/>
    </w:rPr>
  </w:style>
  <w:style w:type="paragraph" w:styleId="1308" w:customStyle="1">
    <w:name w:val="文档正文"/>
    <w:basedOn w:val="977"/>
    <w:qFormat/>
    <w:pPr>
      <w:spacing w:line="360" w:lineRule="auto"/>
    </w:pPr>
    <w:rPr>
      <w:rFonts w:hAnsi="宋体" w:eastAsia="Calibri" w:cs="宋体"/>
      <w:bCs/>
      <w:position w:val="0"/>
      <w:sz w:val="20"/>
      <w:szCs w:val="24"/>
      <w:lang w:val="zh-CN"/>
    </w:rPr>
  </w:style>
  <w:style w:type="paragraph" w:styleId="1309" w:customStyle="1">
    <w:name w:val="xl61"/>
    <w:basedOn w:val="97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10" w:customStyle="1">
    <w:name w:val="标准小四"/>
    <w:basedOn w:val="977"/>
    <w:qFormat/>
    <w:pPr>
      <w:ind w:firstLine="480"/>
      <w:spacing w:line="360" w:lineRule="auto"/>
    </w:pPr>
    <w:rPr>
      <w:rFonts w:ascii="Arial" w:hAnsi="Arial" w:eastAsia="Calibri" w:cs="宋体"/>
      <w:b w:val="0"/>
      <w:position w:val="0"/>
      <w:szCs w:val="21"/>
      <w:lang w:val="zh-CN"/>
    </w:rPr>
  </w:style>
  <w:style w:type="paragraph" w:styleId="1311" w:customStyle="1">
    <w:name w:val="正文 + 宋体"/>
    <w:basedOn w:val="977"/>
    <w:qFormat/>
    <w:pPr>
      <w:ind w:firstLine="420"/>
      <w:spacing w:line="360" w:lineRule="auto"/>
    </w:pPr>
    <w:rPr>
      <w:rFonts w:ascii="Calibri" w:hAnsi="Calibri" w:eastAsia="Calibri" w:cs="宋体"/>
      <w:b w:val="0"/>
      <w:position w:val="0"/>
      <w:sz w:val="20"/>
      <w:szCs w:val="24"/>
      <w:lang w:val="zh-CN"/>
    </w:rPr>
  </w:style>
  <w:style w:type="paragraph" w:styleId="1312" w:customStyle="1">
    <w:name w:val="马刚标题1"/>
    <w:basedOn w:val="978"/>
    <w:next w:val="97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13" w:customStyle="1">
    <w:name w:val="font9"/>
    <w:basedOn w:val="977"/>
    <w:qFormat/>
    <w:pPr>
      <w:jc w:val="left"/>
      <w:spacing w:before="100" w:beforeAutospacing="1" w:after="100" w:afterAutospacing="1"/>
      <w:widowControl/>
    </w:pPr>
    <w:rPr>
      <w:rFonts w:ascii="Calibri" w:hAnsi="Calibri" w:eastAsia="Calibri" w:cs="宋体"/>
      <w:bCs/>
      <w:position w:val="0"/>
      <w:sz w:val="20"/>
      <w:lang w:val="zh-CN"/>
    </w:rPr>
  </w:style>
  <w:style w:type="paragraph" w:styleId="1314" w:customStyle="1">
    <w:name w:val="p0"/>
    <w:qFormat/>
    <w:pPr>
      <w:spacing w:before="100" w:beforeAutospacing="1" w:after="100" w:afterAutospacing="1"/>
    </w:pPr>
    <w:rPr>
      <w:rFonts w:ascii="宋体" w:hAnsi="宋体" w:eastAsia="仿宋_GB2312" w:cs="宋体"/>
      <w:sz w:val="24"/>
    </w:rPr>
  </w:style>
  <w:style w:type="paragraph" w:styleId="1315" w:customStyle="1">
    <w:name w:val="font8"/>
    <w:basedOn w:val="977"/>
    <w:qFormat/>
    <w:pPr>
      <w:jc w:val="left"/>
      <w:spacing w:before="100" w:beforeAutospacing="1" w:after="100" w:afterAutospacing="1"/>
      <w:widowControl/>
    </w:pPr>
    <w:rPr>
      <w:rFonts w:hAnsi="宋体" w:eastAsia="Calibri" w:cs="宋体"/>
      <w:bCs/>
      <w:i/>
      <w:iCs/>
      <w:position w:val="0"/>
      <w:sz w:val="20"/>
      <w:lang w:val="zh-CN"/>
    </w:rPr>
  </w:style>
  <w:style w:type="paragraph" w:styleId="1316" w:customStyle="1">
    <w:name w:val="纯文本2"/>
    <w:basedOn w:val="977"/>
    <w:qFormat/>
    <w:rPr>
      <w:rFonts w:hAnsi="Courier New" w:eastAsia="楷体_GB2312"/>
      <w:sz w:val="28"/>
    </w:rPr>
  </w:style>
  <w:style w:type="paragraph" w:styleId="1317" w:customStyle="1">
    <w:name w:val="大标题"/>
    <w:basedOn w:val="977"/>
    <w:next w:val="97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18" w:customStyle="1">
    <w:name w:val="Char Char1 Char Char Char Char"/>
    <w:basedOn w:val="998"/>
    <w:qFormat/>
    <w:pPr>
      <w:ind w:left="357"/>
      <w:jc w:val="left"/>
      <w:spacing w:line="436" w:lineRule="exact"/>
      <w:outlineLvl w:val="3"/>
    </w:pPr>
    <w:rPr>
      <w:rFonts w:ascii="Tahoma" w:hAnsi="Tahoma" w:cs="Tahoma"/>
      <w:position w:val="0"/>
      <w:szCs w:val="24"/>
    </w:rPr>
  </w:style>
  <w:style w:type="paragraph" w:styleId="1319" w:customStyle="1">
    <w:name w:val="标题2，章节第二层"/>
    <w:basedOn w:val="977"/>
    <w:next w:val="1091"/>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20" w:customStyle="1">
    <w:name w:val="Char Char1 Char Char Char Char Char Char Char"/>
    <w:basedOn w:val="977"/>
    <w:qFormat/>
    <w:rPr>
      <w:rFonts w:ascii="Tahoma" w:hAnsi="Tahoma" w:eastAsia="Calibri" w:cs="Tahoma"/>
      <w:b w:val="0"/>
      <w:position w:val="0"/>
      <w:lang w:val="zh-CN"/>
    </w:rPr>
  </w:style>
  <w:style w:type="paragraph" w:styleId="1321" w:customStyle="1">
    <w:name w:val="xl28"/>
    <w:basedOn w:val="9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22" w:customStyle="1">
    <w:name w:val="纯文本 Char Char"/>
    <w:qFormat/>
    <w:rPr>
      <w:rFonts w:ascii="宋体" w:hAnsi="Courier New" w:eastAsia="宋体"/>
      <w:sz w:val="21"/>
      <w:szCs w:val="21"/>
      <w:lang w:val="en-US" w:eastAsia="zh-CN" w:bidi="ar-SA"/>
    </w:rPr>
  </w:style>
  <w:style w:type="character" w:styleId="1323" w:customStyle="1">
    <w:name w:val="concon"/>
    <w:qFormat/>
  </w:style>
  <w:style w:type="character" w:styleId="1324" w:customStyle="1">
    <w:name w:val="标题 字符1"/>
    <w:qFormat/>
    <w:rPr>
      <w:rFonts w:ascii="等线 Light" w:hAnsi="等线 Light" w:eastAsia="宋体" w:cs="Times New Roman"/>
      <w:b/>
      <w:bCs/>
      <w:position w:val="-10"/>
      <w:sz w:val="32"/>
      <w:szCs w:val="32"/>
    </w:rPr>
  </w:style>
  <w:style w:type="character" w:styleId="1325" w:customStyle="1">
    <w:name w:val="小四 段落 宋体 Char Char Char Char Char Char Char Char"/>
    <w:qFormat/>
    <w:rPr>
      <w:rFonts w:eastAsia="宋体"/>
      <w:sz w:val="24"/>
      <w:szCs w:val="24"/>
      <w:lang w:val="en-US" w:eastAsia="zh-CN" w:bidi="ar-SA"/>
    </w:rPr>
  </w:style>
  <w:style w:type="character" w:styleId="1326" w:customStyle="1">
    <w:name w:val="qxdate"/>
    <w:qFormat/>
    <w:rPr>
      <w:rFonts w:ascii="Times New Roman" w:hAnsi="Times New Roman" w:eastAsia="宋体" w:cs="Times New Roman"/>
      <w:color w:val="333333"/>
      <w:sz w:val="18"/>
      <w:szCs w:val="18"/>
    </w:rPr>
  </w:style>
  <w:style w:type="character" w:styleId="1327" w:customStyle="1">
    <w:name w:val="Title1 Char"/>
    <w:qFormat/>
    <w:rPr>
      <w:rFonts w:eastAsia="宋体"/>
      <w:b/>
      <w:bCs/>
      <w:sz w:val="44"/>
      <w:szCs w:val="44"/>
      <w:lang w:val="en-US" w:eastAsia="zh-CN" w:bidi="ar-SA"/>
    </w:rPr>
  </w:style>
  <w:style w:type="character" w:styleId="1328" w:customStyle="1">
    <w:name w:val="小四 段落 宋体 Char Char Char1"/>
    <w:qFormat/>
    <w:rPr>
      <w:rFonts w:ascii="宋体" w:hAnsi="宋体" w:eastAsia="宋体"/>
      <w:sz w:val="24"/>
      <w:szCs w:val="24"/>
      <w:lang w:val="en-US" w:eastAsia="zh-CN" w:bidi="ar-SA"/>
    </w:rPr>
  </w:style>
  <w:style w:type="character" w:styleId="1329" w:customStyle="1">
    <w:name w:val="标准文本 Char Char"/>
    <w:qFormat/>
    <w:rPr>
      <w:rFonts w:eastAsia="宋体" w:cs="宋体"/>
      <w:sz w:val="24"/>
      <w:szCs w:val="24"/>
      <w:lang w:val="en-US" w:eastAsia="zh-CN" w:bidi="ar-SA"/>
    </w:rPr>
  </w:style>
  <w:style w:type="character" w:styleId="1330" w:customStyle="1">
    <w:name w:val="Char Char26"/>
    <w:qFormat/>
    <w:rPr>
      <w:b/>
      <w:bCs/>
      <w:sz w:val="32"/>
      <w:szCs w:val="32"/>
    </w:rPr>
  </w:style>
  <w:style w:type="character" w:styleId="1331" w:customStyle="1">
    <w:name w:val="_Style 315"/>
    <w:qFormat/>
    <w:rPr>
      <w:i/>
      <w:iCs/>
      <w:smallCaps/>
      <w:spacing w:val="5"/>
    </w:rPr>
  </w:style>
  <w:style w:type="character" w:styleId="1332" w:customStyle="1">
    <w:name w:val="prev1"/>
    <w:qFormat/>
    <w:rPr>
      <w:rFonts w:ascii="Times New Roman" w:hAnsi="Times New Roman" w:eastAsia="宋体" w:cs="Times New Roman"/>
      <w:color w:val="888888"/>
    </w:rPr>
  </w:style>
  <w:style w:type="character" w:styleId="1333" w:customStyle="1">
    <w:name w:val="redfilefwwh"/>
    <w:qFormat/>
    <w:rPr>
      <w:rFonts w:ascii="Times New Roman" w:hAnsi="Times New Roman" w:eastAsia="宋体" w:cs="Times New Roman"/>
      <w:color w:val="ba2636"/>
      <w:sz w:val="18"/>
      <w:szCs w:val="18"/>
    </w:rPr>
  </w:style>
  <w:style w:type="character" w:styleId="1334" w:customStyle="1">
    <w:name w:val="listbenefit"/>
    <w:qFormat/>
  </w:style>
  <w:style w:type="character" w:styleId="1335" w:customStyle="1">
    <w:name w:val="textcontents"/>
    <w:qFormat/>
  </w:style>
  <w:style w:type="character" w:styleId="1336" w:customStyle="1">
    <w:name w:val="_Style 321"/>
    <w:qFormat/>
    <w:rPr>
      <w:smallCaps/>
    </w:rPr>
  </w:style>
  <w:style w:type="character" w:styleId="1337" w:customStyle="1">
    <w:name w:val="case31"/>
    <w:qFormat/>
    <w:rPr>
      <w:sz w:val="21"/>
      <w:szCs w:val="21"/>
    </w:rPr>
  </w:style>
  <w:style w:type="character" w:styleId="1338" w:customStyle="1">
    <w:name w:val="Char Char23"/>
    <w:qFormat/>
    <w:rPr>
      <w:rFonts w:ascii="Arial" w:hAnsi="Arial" w:eastAsia="黑体"/>
      <w:b/>
      <w:bCs/>
      <w:sz w:val="24"/>
      <w:szCs w:val="24"/>
    </w:rPr>
  </w:style>
  <w:style w:type="character" w:styleId="1339" w:customStyle="1">
    <w:name w:val="_Style 326"/>
    <w:qFormat/>
    <w:rPr>
      <w:b/>
      <w:bCs/>
    </w:rPr>
  </w:style>
  <w:style w:type="character" w:styleId="1340" w:customStyle="1">
    <w:name w:val="zhengwen1"/>
    <w:uiPriority w:val="99"/>
    <w:qFormat/>
    <w:rPr>
      <w:sz w:val="21"/>
    </w:rPr>
  </w:style>
  <w:style w:type="character" w:styleId="1341" w:customStyle="1">
    <w:name w:val="样式 非加粗"/>
    <w:qFormat/>
    <w:rPr>
      <w:rFonts w:eastAsia="宋体"/>
      <w:sz w:val="28"/>
    </w:rPr>
  </w:style>
  <w:style w:type="character" w:styleId="1342" w:customStyle="1">
    <w:name w:val="next3"/>
    <w:qFormat/>
    <w:rPr>
      <w:rFonts w:hint="eastAsia" w:ascii="微软雅黑" w:hAnsi="微软雅黑" w:eastAsia="微软雅黑" w:cs="微软雅黑"/>
      <w:sz w:val="21"/>
      <w:szCs w:val="21"/>
    </w:rPr>
  </w:style>
  <w:style w:type="character" w:styleId="1343" w:customStyle="1">
    <w:name w:val="标题 3 Char"/>
    <w:qFormat/>
    <w:rPr>
      <w:rFonts w:ascii="宋体" w:hAnsi="宋体" w:eastAsia="宋体"/>
      <w:b/>
      <w:bCs/>
      <w:sz w:val="24"/>
      <w:szCs w:val="32"/>
      <w:lang w:val="en-US" w:eastAsia="zh-CN" w:bidi="ar-SA"/>
    </w:rPr>
  </w:style>
  <w:style w:type="character" w:styleId="1344" w:customStyle="1">
    <w:name w:val="小四 段落 宋体 Char1"/>
    <w:qFormat/>
    <w:rPr>
      <w:rFonts w:eastAsia="宋体"/>
      <w:sz w:val="24"/>
      <w:szCs w:val="24"/>
      <w:lang w:val="en-US" w:eastAsia="zh-CN" w:bidi="ar-SA"/>
    </w:rPr>
  </w:style>
  <w:style w:type="character" w:styleId="1345" w:customStyle="1">
    <w:name w:val="next1"/>
    <w:qFormat/>
    <w:rPr>
      <w:rFonts w:ascii="Times New Roman" w:hAnsi="Times New Roman" w:eastAsia="宋体" w:cs="Times New Roman"/>
      <w:color w:val="888888"/>
    </w:rPr>
  </w:style>
  <w:style w:type="character" w:styleId="1346" w:customStyle="1">
    <w:name w:val="style13"/>
    <w:qFormat/>
    <w:rPr>
      <w:sz w:val="18"/>
      <w:szCs w:val="18"/>
    </w:rPr>
  </w:style>
  <w:style w:type="character" w:styleId="1347" w:customStyle="1">
    <w:name w:val="next2"/>
    <w:qFormat/>
    <w:rPr>
      <w:rFonts w:ascii="Times New Roman" w:hAnsi="Times New Roman" w:eastAsia="宋体" w:cs="Times New Roman"/>
      <w:color w:val="888888"/>
    </w:rPr>
  </w:style>
  <w:style w:type="character" w:styleId="1348" w:customStyle="1">
    <w:name w:val="Char Char27"/>
    <w:qFormat/>
    <w:rPr>
      <w:b/>
      <w:bCs/>
      <w:sz w:val="44"/>
      <w:szCs w:val="44"/>
    </w:rPr>
  </w:style>
  <w:style w:type="character" w:styleId="1349" w:customStyle="1">
    <w:name w:val="Char Char8"/>
    <w:qFormat/>
    <w:rPr>
      <w:rFonts w:eastAsia="宋体"/>
      <w:sz w:val="21"/>
      <w:lang w:val="en-US" w:eastAsia="zh-CN" w:bidi="ar-SA"/>
    </w:rPr>
  </w:style>
  <w:style w:type="character" w:styleId="1350" w:customStyle="1">
    <w:name w:val="3zw"/>
    <w:qFormat/>
  </w:style>
  <w:style w:type="character" w:styleId="1351" w:customStyle="1">
    <w:name w:val="小四 段落 宋体 Char Char Char Char Char"/>
    <w:qFormat/>
    <w:rPr>
      <w:rFonts w:eastAsia="宋体"/>
      <w:sz w:val="24"/>
      <w:szCs w:val="24"/>
      <w:lang w:val="en-US" w:eastAsia="zh-CN" w:bidi="ar-SA"/>
    </w:rPr>
  </w:style>
  <w:style w:type="character" w:styleId="1352" w:customStyle="1">
    <w:name w:val="h Char Char"/>
    <w:qFormat/>
    <w:rPr>
      <w:rFonts w:eastAsia="宋体"/>
      <w:sz w:val="18"/>
      <w:szCs w:val="18"/>
      <w:lang w:val="en-US" w:eastAsia="zh-CN" w:bidi="ar-SA"/>
    </w:rPr>
  </w:style>
  <w:style w:type="character" w:styleId="1353" w:customStyle="1">
    <w:name w:val="content"/>
    <w:qFormat/>
  </w:style>
  <w:style w:type="character" w:styleId="1354" w:customStyle="1">
    <w:name w:val="redfilenumber"/>
    <w:qFormat/>
    <w:rPr>
      <w:rFonts w:ascii="Times New Roman" w:hAnsi="Times New Roman" w:eastAsia="宋体" w:cs="Times New Roman"/>
      <w:color w:val="ba2636"/>
      <w:sz w:val="18"/>
      <w:szCs w:val="18"/>
    </w:rPr>
  </w:style>
  <w:style w:type="character" w:styleId="1355" w:customStyle="1">
    <w:name w:val="Char Char28"/>
    <w:qFormat/>
    <w:rPr>
      <w:rFonts w:ascii="Arial" w:hAnsi="Arial" w:eastAsia="黑体" w:cs="Arial"/>
      <w:b/>
      <w:bCs/>
      <w:sz w:val="32"/>
      <w:szCs w:val="32"/>
    </w:rPr>
  </w:style>
  <w:style w:type="character" w:styleId="1356" w:customStyle="1">
    <w:name w:val="正文 + 宋体 Char"/>
    <w:qFormat/>
    <w:rPr>
      <w:rFonts w:eastAsia="宋体"/>
      <w:sz w:val="21"/>
      <w:szCs w:val="24"/>
      <w:lang w:val="en-US" w:eastAsia="zh-CN" w:bidi="ar-SA"/>
    </w:rPr>
  </w:style>
  <w:style w:type="character" w:styleId="1357" w:customStyle="1">
    <w:name w:val="Char Char211"/>
    <w:qFormat/>
    <w:rPr>
      <w:rFonts w:ascii="宋体" w:hAnsi="Courier New" w:eastAsia="宋体"/>
      <w:sz w:val="21"/>
      <w:szCs w:val="21"/>
      <w:lang w:val="en-US" w:eastAsia="zh-CN" w:bidi="ar-SA"/>
    </w:rPr>
  </w:style>
  <w:style w:type="character" w:styleId="1358" w:customStyle="1">
    <w:name w:val="subtitle1"/>
    <w:qFormat/>
    <w:rPr>
      <w:rFonts w:hint="default" w:ascii="Georgia" w:hAnsi="Georgia"/>
      <w:b/>
      <w:bCs/>
      <w:color w:val="666666"/>
      <w:sz w:val="18"/>
      <w:szCs w:val="18"/>
    </w:rPr>
  </w:style>
  <w:style w:type="character" w:styleId="1359" w:customStyle="1">
    <w:name w:val="特点 Char1"/>
    <w:qFormat/>
    <w:rPr>
      <w:rFonts w:eastAsia="宋体"/>
      <w:sz w:val="21"/>
      <w:lang w:val="en-US" w:eastAsia="zh-CN" w:bidi="ar-SA"/>
    </w:rPr>
  </w:style>
  <w:style w:type="character" w:styleId="1360" w:customStyle="1">
    <w:name w:val="样式 宋体 小四"/>
    <w:qFormat/>
    <w:rPr>
      <w:rFonts w:ascii="宋体" w:hAnsi="宋体"/>
      <w:sz w:val="24"/>
    </w:rPr>
  </w:style>
  <w:style w:type="character" w:styleId="1361" w:customStyle="1">
    <w:name w:val="Char Char22"/>
    <w:qFormat/>
    <w:rPr>
      <w:b/>
      <w:bCs/>
      <w:sz w:val="24"/>
      <w:szCs w:val="24"/>
    </w:rPr>
  </w:style>
  <w:style w:type="character" w:styleId="1362" w:customStyle="1">
    <w:name w:val="para_small"/>
    <w:qFormat/>
  </w:style>
  <w:style w:type="character" w:styleId="1363" w:customStyle="1">
    <w:name w:val="纯文本 Char Char Char1"/>
    <w:qFormat/>
    <w:rPr>
      <w:rFonts w:ascii="宋体" w:hAnsi="Courier New" w:eastAsia="宋体"/>
      <w:sz w:val="21"/>
      <w:szCs w:val="21"/>
      <w:lang w:val="en-US" w:eastAsia="zh-CN" w:bidi="ar-SA"/>
    </w:rPr>
  </w:style>
  <w:style w:type="character" w:styleId="1364" w:customStyle="1">
    <w:name w:val="style131"/>
    <w:qFormat/>
    <w:rPr>
      <w:rFonts w:cs="Times New Roman"/>
      <w:sz w:val="18"/>
      <w:szCs w:val="18"/>
    </w:rPr>
  </w:style>
  <w:style w:type="character" w:styleId="1365" w:customStyle="1">
    <w:name w:val="displayarti"/>
    <w:qFormat/>
    <w:rPr>
      <w:rFonts w:ascii="Times New Roman" w:hAnsi="Times New Roman" w:eastAsia="宋体" w:cs="Times New Roman"/>
      <w:color w:val="ffffff"/>
      <w:shd w:val="clear" w:color="auto" w:fill="a00000"/>
    </w:rPr>
  </w:style>
  <w:style w:type="character" w:styleId="1366" w:customStyle="1">
    <w:name w:val="Char Char21"/>
    <w:qFormat/>
    <w:rPr>
      <w:rFonts w:ascii="Arial" w:hAnsi="Arial" w:eastAsia="黑体"/>
      <w:sz w:val="24"/>
      <w:szCs w:val="24"/>
    </w:rPr>
  </w:style>
  <w:style w:type="character" w:styleId="1367" w:customStyle="1">
    <w:name w:val="纯文本 Char1"/>
    <w:qFormat/>
    <w:rPr>
      <w:rFonts w:ascii="宋体" w:hAnsi="Courier New" w:eastAsia="宋体" w:cs="Courier New"/>
      <w:sz w:val="21"/>
      <w:szCs w:val="21"/>
      <w:lang w:val="en-US" w:eastAsia="zh-CN" w:bidi="ar-SA"/>
    </w:rPr>
  </w:style>
  <w:style w:type="character" w:styleId="1368" w:customStyle="1">
    <w:name w:val="华宇段落1 Char Char Char"/>
    <w:qFormat/>
    <w:rPr>
      <w:rFonts w:eastAsia="宋体"/>
      <w:bCs/>
      <w:sz w:val="24"/>
      <w:szCs w:val="24"/>
      <w:lang w:val="en-US" w:eastAsia="zh-CN" w:bidi="ar-SA"/>
    </w:rPr>
  </w:style>
  <w:style w:type="character" w:styleId="1369" w:customStyle="1">
    <w:name w:val="_Style 367"/>
    <w:qFormat/>
    <w:rPr>
      <w:smallCaps/>
      <w:spacing w:val="5"/>
      <w:u w:val="single"/>
    </w:rPr>
  </w:style>
  <w:style w:type="character" w:styleId="1370" w:customStyle="1">
    <w:name w:val="HTML 预设格式 字符1"/>
    <w:qFormat/>
    <w:rPr>
      <w:rFonts w:ascii="Courier New" w:hAnsi="Courier New" w:eastAsia="宋体" w:cs="Courier New"/>
      <w:b/>
      <w:position w:val="-10"/>
    </w:rPr>
  </w:style>
  <w:style w:type="character" w:styleId="1371" w:customStyle="1">
    <w:name w:val="next"/>
    <w:qFormat/>
    <w:rPr>
      <w:rFonts w:ascii="微软雅黑" w:hAnsi="微软雅黑" w:eastAsia="微软雅黑" w:cs="微软雅黑"/>
      <w:sz w:val="21"/>
      <w:szCs w:val="21"/>
    </w:rPr>
  </w:style>
  <w:style w:type="character" w:styleId="1372" w:customStyle="1">
    <w:name w:val="prev"/>
    <w:qFormat/>
    <w:rPr>
      <w:rFonts w:hint="eastAsia" w:ascii="微软雅黑" w:hAnsi="微软雅黑" w:eastAsia="微软雅黑" w:cs="微软雅黑"/>
      <w:sz w:val="21"/>
      <w:szCs w:val="21"/>
    </w:rPr>
  </w:style>
  <w:style w:type="character" w:styleId="1373" w:customStyle="1">
    <w:name w:val="title_emph1"/>
    <w:qFormat/>
    <w:rPr>
      <w:rFonts w:ascii="Arial" w:cs="Arial"/>
      <w:b/>
      <w:bCs/>
      <w:sz w:val="18"/>
      <w:szCs w:val="18"/>
    </w:rPr>
  </w:style>
  <w:style w:type="character" w:styleId="1374" w:customStyle="1">
    <w:name w:val="Char Char20"/>
    <w:qFormat/>
    <w:rPr>
      <w:rFonts w:ascii="Arial" w:hAnsi="Arial" w:eastAsia="黑体"/>
      <w:sz w:val="21"/>
      <w:szCs w:val="21"/>
    </w:rPr>
  </w:style>
  <w:style w:type="character" w:styleId="1375" w:customStyle="1">
    <w:name w:val="_Style 379"/>
    <w:qFormat/>
    <w:rPr>
      <w:i/>
      <w:iCs/>
    </w:rPr>
  </w:style>
  <w:style w:type="character" w:styleId="1376" w:customStyle="1">
    <w:name w:val="normalfont1"/>
    <w:qFormat/>
    <w:rPr>
      <w:rFonts w:hint="default" w:ascii="ˎ̥" w:hAnsi="ˎ̥"/>
      <w:sz w:val="18"/>
      <w:szCs w:val="18"/>
      <w:u w:val="none"/>
    </w:rPr>
  </w:style>
  <w:style w:type="character" w:styleId="1377" w:customStyle="1">
    <w:name w:val="已访问的超链接1"/>
    <w:qFormat/>
    <w:rPr>
      <w:color w:val="auto"/>
      <w:u w:val="none"/>
    </w:rPr>
  </w:style>
  <w:style w:type="character" w:styleId="1378" w:customStyle="1">
    <w:name w:val="A2"/>
    <w:qFormat/>
    <w:rPr>
      <w:rFonts w:cs="Helvetica"/>
      <w:color w:val="000000"/>
      <w:sz w:val="18"/>
      <w:szCs w:val="18"/>
    </w:rPr>
  </w:style>
  <w:style w:type="character" w:styleId="1379" w:customStyle="1">
    <w:name w:val="Char Char29"/>
    <w:qFormat/>
    <w:rPr>
      <w:rFonts w:ascii="Times New Roman" w:hAnsi="Times New Roman" w:eastAsia="宋体" w:cs="Times New Roman"/>
      <w:b/>
      <w:bCs/>
      <w:sz w:val="44"/>
      <w:szCs w:val="44"/>
    </w:rPr>
  </w:style>
  <w:style w:type="character" w:styleId="1380" w:customStyle="1">
    <w:name w:val="content_lineheight1"/>
    <w:qFormat/>
  </w:style>
  <w:style w:type="character" w:styleId="1381" w:customStyle="1">
    <w:name w:val="标准小四 Char"/>
    <w:qFormat/>
    <w:rPr>
      <w:rFonts w:ascii="Arial" w:hAnsi="Arial" w:eastAsia="宋体"/>
      <w:sz w:val="24"/>
      <w:szCs w:val="21"/>
      <w:lang w:val="en-US" w:eastAsia="zh-CN" w:bidi="ar-SA"/>
    </w:rPr>
  </w:style>
  <w:style w:type="character" w:styleId="1382" w:customStyle="1">
    <w:name w:val="标准小四 Char Char"/>
    <w:qFormat/>
    <w:rPr>
      <w:rFonts w:ascii="Arial" w:hAnsi="Arial" w:eastAsia="宋体"/>
      <w:sz w:val="24"/>
      <w:szCs w:val="21"/>
      <w:lang w:val="en-US" w:eastAsia="zh-CN" w:bidi="ar-SA"/>
    </w:rPr>
  </w:style>
  <w:style w:type="character" w:styleId="1383" w:customStyle="1">
    <w:name w:val="ih151"/>
    <w:qFormat/>
    <w:rPr>
      <w:color w:val="666666"/>
      <w:sz w:val="18"/>
      <w:szCs w:val="18"/>
      <w:u w:val="none"/>
    </w:rPr>
  </w:style>
  <w:style w:type="character" w:styleId="1384" w:customStyle="1">
    <w:name w:val="标准文本 Char"/>
    <w:qFormat/>
    <w:rPr>
      <w:rFonts w:eastAsia="宋体" w:cs="宋体"/>
      <w:sz w:val="24"/>
      <w:szCs w:val="24"/>
      <w:lang w:val="en-US" w:eastAsia="zh-CN" w:bidi="ar-SA"/>
    </w:rPr>
  </w:style>
  <w:style w:type="character" w:styleId="1385" w:customStyle="1">
    <w:name w:val="gjfg"/>
    <w:qFormat/>
  </w:style>
  <w:style w:type="character" w:styleId="1386" w:customStyle="1">
    <w:name w:val="小四 段落 宋体 Char Char Char Char1"/>
    <w:qFormat/>
    <w:rPr>
      <w:rFonts w:eastAsia="宋体"/>
      <w:sz w:val="24"/>
      <w:szCs w:val="24"/>
      <w:lang w:val="en-US" w:eastAsia="zh-CN" w:bidi="ar-SA"/>
    </w:rPr>
  </w:style>
  <w:style w:type="character" w:styleId="1387" w:customStyle="1">
    <w:name w:val="引用 字符1"/>
    <w:uiPriority w:val="99"/>
    <w:qFormat/>
    <w:rPr>
      <w:rFonts w:ascii="宋体" w:hAnsi="Times New Roman" w:eastAsia="宋体" w:cs="Times New Roman"/>
      <w:b/>
      <w:i/>
      <w:iCs/>
      <w:color w:val="404040"/>
      <w:position w:val="-10"/>
      <w:sz w:val="24"/>
    </w:rPr>
  </w:style>
  <w:style w:type="character" w:styleId="1388" w:customStyle="1">
    <w:name w:val="prev2"/>
    <w:qFormat/>
    <w:rPr>
      <w:rFonts w:ascii="Times New Roman" w:hAnsi="Times New Roman" w:eastAsia="宋体" w:cs="Times New Roman"/>
      <w:color w:val="888888"/>
    </w:rPr>
  </w:style>
  <w:style w:type="character" w:styleId="1389" w:customStyle="1">
    <w:name w:val="t1"/>
    <w:qFormat/>
  </w:style>
  <w:style w:type="character" w:styleId="1390" w:customStyle="1">
    <w:name w:val="cfdate"/>
    <w:qFormat/>
    <w:rPr>
      <w:rFonts w:ascii="Times New Roman" w:hAnsi="Times New Roman" w:eastAsia="宋体" w:cs="Times New Roman"/>
      <w:color w:val="333333"/>
      <w:sz w:val="18"/>
      <w:szCs w:val="18"/>
    </w:rPr>
  </w:style>
  <w:style w:type="character" w:styleId="1391" w:customStyle="1">
    <w:name w:val="Char Char24"/>
    <w:qFormat/>
    <w:rPr>
      <w:b/>
      <w:bCs/>
      <w:sz w:val="28"/>
      <w:szCs w:val="28"/>
    </w:rPr>
  </w:style>
  <w:style w:type="character" w:styleId="1392" w:customStyle="1">
    <w:name w:val="point_normal1"/>
    <w:qFormat/>
    <w:rPr>
      <w:rFonts w:hint="default" w:ascii="Arial" w:hAnsi="Arial" w:cs="Arial"/>
      <w:sz w:val="18"/>
      <w:szCs w:val="18"/>
    </w:rPr>
  </w:style>
  <w:style w:type="character" w:styleId="1393" w:customStyle="1">
    <w:name w:val="小四 段落 宋体 Char Char Char Char Char Char"/>
    <w:qFormat/>
    <w:rPr>
      <w:rFonts w:eastAsia="宋体"/>
      <w:sz w:val="24"/>
      <w:szCs w:val="24"/>
      <w:lang w:val="en-US" w:eastAsia="zh-CN" w:bidi="ar-SA"/>
    </w:rPr>
  </w:style>
  <w:style w:type="character" w:styleId="1394" w:customStyle="1">
    <w:name w:val="Char Char17"/>
    <w:qFormat/>
    <w:rPr>
      <w:rFonts w:ascii="宋体" w:hAnsi="Courier New"/>
      <w:sz w:val="21"/>
      <w:szCs w:val="21"/>
    </w:rPr>
  </w:style>
  <w:style w:type="character" w:styleId="1395" w:customStyle="1">
    <w:name w:val="明显引用 字符1"/>
    <w:uiPriority w:val="99"/>
    <w:qFormat/>
    <w:rPr>
      <w:rFonts w:ascii="宋体" w:hAnsi="Times New Roman" w:eastAsia="宋体" w:cs="Times New Roman"/>
      <w:b/>
      <w:i/>
      <w:iCs/>
      <w:color w:val="4472c4"/>
      <w:position w:val="-10"/>
      <w:sz w:val="24"/>
    </w:rPr>
  </w:style>
  <w:style w:type="character" w:styleId="1396" w:customStyle="1">
    <w:name w:val="标题 Char1"/>
    <w:qFormat/>
    <w:rPr>
      <w:rFonts w:ascii="Cambria" w:eastAsia="宋体" w:cs="Times New Roman"/>
      <w:b/>
      <w:bCs/>
      <w:sz w:val="32"/>
      <w:szCs w:val="32"/>
    </w:rPr>
  </w:style>
  <w:style w:type="character" w:styleId="1397" w:customStyle="1">
    <w:name w:val="prev3"/>
    <w:qFormat/>
    <w:rPr>
      <w:rFonts w:ascii="微软雅黑" w:hAnsi="微软雅黑" w:eastAsia="微软雅黑" w:cs="微软雅黑"/>
      <w:sz w:val="21"/>
      <w:szCs w:val="21"/>
    </w:rPr>
  </w:style>
  <w:style w:type="character" w:styleId="1398" w:customStyle="1">
    <w:name w:val="param-value"/>
    <w:qFormat/>
  </w:style>
  <w:style w:type="character" w:styleId="1399" w:customStyle="1">
    <w:name w:val="正文文本缩进 2 字符1"/>
    <w:qFormat/>
    <w:rPr>
      <w:rFonts w:ascii="宋体" w:hAnsi="Times New Roman" w:eastAsia="宋体" w:cs="Times New Roman"/>
      <w:b/>
      <w:position w:val="-10"/>
      <w:sz w:val="24"/>
    </w:rPr>
  </w:style>
  <w:style w:type="character" w:styleId="1400" w:customStyle="1">
    <w:name w:val="apple-converted-space"/>
    <w:qFormat/>
  </w:style>
  <w:style w:type="character" w:styleId="140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402" w:customStyle="1">
    <w:name w:val="华宇段落1 Char Char"/>
    <w:qFormat/>
    <w:rPr>
      <w:rFonts w:eastAsia="宋体"/>
      <w:bCs/>
      <w:sz w:val="24"/>
      <w:szCs w:val="24"/>
      <w:lang w:val="en-US" w:eastAsia="zh-CN" w:bidi="ar-SA"/>
    </w:rPr>
  </w:style>
  <w:style w:type="character" w:styleId="1403" w:customStyle="1">
    <w:name w:val="Char Char25"/>
    <w:qFormat/>
    <w:rPr>
      <w:rFonts w:ascii="Arial" w:hAnsi="Arial" w:eastAsia="黑体"/>
      <w:b/>
      <w:sz w:val="28"/>
    </w:rPr>
  </w:style>
  <w:style w:type="character" w:styleId="1404" w:customStyle="1">
    <w:name w:val="标题 3 Char Char"/>
    <w:qFormat/>
    <w:rPr>
      <w:rFonts w:eastAsia="仿宋_GB2312"/>
      <w:b/>
      <w:bCs/>
      <w:sz w:val="28"/>
      <w:szCs w:val="32"/>
      <w:lang w:val="en-US" w:eastAsia="zh-CN" w:bidi="ar-SA"/>
    </w:rPr>
  </w:style>
  <w:style w:type="character" w:styleId="1405" w:customStyle="1">
    <w:name w:val="样式 首行缩进:  2 字符 Char"/>
    <w:qFormat/>
    <w:rPr>
      <w:rFonts w:eastAsia="宋体" w:cs="宋体"/>
      <w:sz w:val="24"/>
      <w:lang w:val="en-US" w:eastAsia="zh-CN" w:bidi="ar-SA"/>
    </w:rPr>
  </w:style>
  <w:style w:type="table" w:styleId="1406" w:customStyle="1">
    <w:name w:val="Table Normal"/>
    <w:qFormat/>
    <w:tblPr>
      <w:tblCellMar>
        <w:left w:w="0" w:type="dxa"/>
        <w:top w:w="0" w:type="dxa"/>
        <w:right w:w="0" w:type="dxa"/>
        <w:bottom w:w="0" w:type="dxa"/>
      </w:tblCellMar>
    </w:tblPr>
  </w:style>
  <w:style w:type="table" w:styleId="1407" w:customStyle="1">
    <w:name w:val="网格型1"/>
    <w:basedOn w:val="98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name w:val="Placeholder Text"/>
    <w:uiPriority w:val="99"/>
    <w:semiHidden/>
    <w:qFormat/>
    <w:rPr>
      <w:color w:val="808080"/>
    </w:rPr>
  </w:style>
  <w:style w:type="paragraph" w:styleId="1409" w:customStyle="1">
    <w:name w:val="正文文本1"/>
    <w:basedOn w:val="977"/>
    <w:qFormat/>
    <w:pPr>
      <w:ind w:firstLine="400"/>
      <w:spacing w:line="480" w:lineRule="auto"/>
    </w:pPr>
    <w:rPr>
      <w:rFonts w:hAnsi="宋体" w:cs="宋体"/>
      <w:sz w:val="20"/>
      <w:lang w:val="zh-CN" w:bidi="zh-CN"/>
    </w:rPr>
  </w:style>
  <w:style w:type="character" w:styleId="1410" w:customStyle="1">
    <w:name w:val="font01"/>
    <w:basedOn w:val="987"/>
    <w:qFormat/>
    <w:rPr>
      <w:rFonts w:hint="eastAsia" w:ascii="宋体" w:hAnsi="宋体" w:eastAsia="宋体" w:cs="宋体"/>
      <w:color w:val="000000"/>
      <w:sz w:val="22"/>
      <w:szCs w:val="22"/>
      <w:u w:val="none"/>
    </w:rPr>
  </w:style>
  <w:style w:type="character" w:styleId="1411" w:customStyle="1">
    <w:name w:val="font21"/>
    <w:basedOn w:val="987"/>
    <w:qFormat/>
    <w:rPr>
      <w:rFonts w:hint="default" w:ascii="Times New Roman" w:hAnsi="Times New Roman" w:cs="Times New Roman"/>
      <w:color w:val="000000"/>
      <w:sz w:val="22"/>
      <w:szCs w:val="22"/>
      <w:u w:val="none"/>
    </w:rPr>
  </w:style>
  <w:style w:type="character" w:styleId="1412" w:customStyle="1">
    <w:name w:val="页眉 字符"/>
    <w:basedOn w:val="987"/>
    <w:link w:val="1018"/>
    <w:uiPriority w:val="99"/>
    <w:qFormat/>
    <w:rPr>
      <w:b/>
      <w:position w:val="-10"/>
      <w:sz w:val="18"/>
      <w:szCs w:val="18"/>
    </w:rPr>
  </w:style>
  <w:style w:type="character" w:styleId="1413" w:customStyle="1">
    <w:name w:val="日期 字符"/>
    <w:basedOn w:val="987"/>
    <w:link w:val="1013"/>
    <w:qFormat/>
    <w:rPr>
      <w:b/>
      <w:position w:val="-10"/>
      <w:sz w:val="24"/>
      <w:szCs w:val="24"/>
    </w:rPr>
  </w:style>
  <w:style w:type="character" w:styleId="1414" w:customStyle="1">
    <w:name w:val="批注框文本 字符"/>
    <w:basedOn w:val="987"/>
    <w:link w:val="1016"/>
    <w:qFormat/>
    <w:rPr>
      <w:b/>
      <w:position w:val="-10"/>
      <w:sz w:val="18"/>
      <w:szCs w:val="18"/>
    </w:rPr>
  </w:style>
  <w:style w:type="character" w:styleId="1415" w:customStyle="1">
    <w:name w:val="批注文字 Char1"/>
    <w:basedOn w:val="987"/>
    <w:qFormat/>
    <w:rPr>
      <w:rFonts w:ascii="Times New Roman" w:hAnsi="Times New Roman" w:eastAsia="宋体" w:cs="Times New Roman"/>
      <w:szCs w:val="24"/>
    </w:rPr>
  </w:style>
  <w:style w:type="character" w:styleId="1416" w:customStyle="1">
    <w:name w:val="p12"/>
    <w:qFormat/>
  </w:style>
  <w:style w:type="character" w:styleId="1417" w:customStyle="1">
    <w:name w:val="列出段落 Char"/>
    <w:link w:val="1306"/>
    <w:qFormat/>
    <w:rPr>
      <w:rFonts w:ascii="Arial" w:hAnsi="Arial" w:eastAsia="黑体" w:cs="宋体"/>
      <w:sz w:val="24"/>
      <w:szCs w:val="24"/>
      <w:lang w:val="zh-CN" w:eastAsia="en-US"/>
    </w:rPr>
  </w:style>
  <w:style w:type="paragraph" w:styleId="1418" w:customStyle="1">
    <w:name w:val="修订1"/>
    <w:hidden/>
    <w:uiPriority w:val="99"/>
    <w:unhideWhenUsed/>
    <w:qFormat/>
    <w:rPr>
      <w:rFonts w:ascii="宋体"/>
      <w:b/>
      <w:position w:val="-10"/>
      <w:sz w:val="24"/>
    </w:rPr>
  </w:style>
  <w:style w:type="character" w:styleId="1419" w:customStyle="1">
    <w:name w:val="正文文本首行缩进 2 字符"/>
    <w:basedOn w:val="1069"/>
    <w:link w:val="1040"/>
    <w:qFormat/>
    <w:rPr>
      <w:rFonts w:ascii="宋体" w:hAnsi="宋体" w:cs="宋体"/>
      <w:b/>
      <w:position w:val="-10"/>
      <w:sz w:val="24"/>
      <w:szCs w:val="24"/>
    </w:rPr>
  </w:style>
  <w:style w:type="paragraph" w:styleId="1420" w:customStyle="1">
    <w:name w:val="修订2"/>
    <w:hidden/>
    <w:uiPriority w:val="99"/>
    <w:unhideWhenUsed/>
    <w:qFormat/>
    <w:rPr>
      <w:rFonts w:ascii="宋体"/>
      <w:b/>
      <w:position w:val="-10"/>
      <w:sz w:val="24"/>
    </w:rPr>
  </w:style>
  <w:style w:type="paragraph" w:styleId="1421" w:customStyle="1">
    <w:name w:val="修订3"/>
    <w:hidden/>
    <w:uiPriority w:val="99"/>
    <w:unhideWhenUsed/>
    <w:qFormat/>
    <w:rPr>
      <w:rFonts w:ascii="宋体"/>
      <w:b/>
      <w:position w:val="-10"/>
      <w:sz w:val="24"/>
    </w:rPr>
  </w:style>
  <w:style w:type="table" w:styleId="1422" w:customStyle="1">
    <w:name w:val="网格型2"/>
    <w:basedOn w:val="98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3" w:customStyle="1">
    <w:name w:val="B1"/>
    <w:basedOn w:val="977"/>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24" w:customStyle="1">
    <w:name w:val="B3"/>
    <w:basedOn w:val="1425"/>
    <w:qFormat/>
    <w:pPr>
      <w:numPr>
        <w:ilvl w:val="2"/>
      </w:numPr>
      <w:ind w:left="1416" w:hanging="1416"/>
      <w:outlineLvl w:val="2"/>
    </w:pPr>
    <w:rPr>
      <w:b w:val="0"/>
    </w:rPr>
  </w:style>
  <w:style w:type="paragraph" w:styleId="1425" w:customStyle="1">
    <w:name w:val="B2"/>
    <w:basedOn w:val="977"/>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426" w:customStyle="1">
    <w:name w:val="未处理的提及1"/>
    <w:basedOn w:val="987"/>
    <w:uiPriority w:val="99"/>
    <w:semiHidden/>
    <w:unhideWhenUsed/>
    <w:qFormat/>
    <w:rPr>
      <w:color w:val="605e5c"/>
      <w:shd w:val="clear" w:color="auto" w:fill="e1dfdd"/>
    </w:rPr>
  </w:style>
  <w:style w:type="table" w:styleId="1427" w:customStyle="1">
    <w:name w:val="网格型3"/>
    <w:basedOn w:val="98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8" w:customStyle="1">
    <w:name w:val="正文缩进_0"/>
    <w:basedOn w:val="1429"/>
    <w:qFormat/>
    <w:pPr>
      <w:ind w:firstLine="482"/>
      <w:spacing w:line="360" w:lineRule="atLeast"/>
    </w:pPr>
    <w:rPr>
      <w:rFonts w:ascii="Times New Roman" w:hAnsi="Times New Roman"/>
      <w:sz w:val="24"/>
      <w:szCs w:val="20"/>
    </w:rPr>
  </w:style>
  <w:style w:type="paragraph" w:styleId="1429" w:customStyle="1">
    <w:name w:val="正文_0_0"/>
    <w:qFormat/>
    <w:pPr>
      <w:jc w:val="both"/>
      <w:widowControl w:val="off"/>
    </w:pPr>
    <w:rPr>
      <w:rFonts w:ascii="Calibri" w:hAnsi="Calibri"/>
      <w:sz w:val="21"/>
      <w:szCs w:val="22"/>
    </w:rPr>
  </w:style>
  <w:style w:type="paragraph" w:styleId="1430" w:customStyle="1">
    <w:name w:val="正文_0"/>
    <w:qFormat/>
    <w:pPr>
      <w:jc w:val="both"/>
      <w:widowControl w:val="off"/>
    </w:pPr>
    <w:rPr>
      <w:sz w:val="21"/>
      <w:szCs w:val="24"/>
    </w:rPr>
  </w:style>
  <w:style w:type="paragraph" w:styleId="1431" w:customStyle="1">
    <w:name w:val="正文（缩进）"/>
    <w:basedOn w:val="1429"/>
    <w:qFormat/>
    <w:pPr>
      <w:ind w:firstLine="480"/>
      <w:jc w:val="left"/>
      <w:spacing w:line="360" w:lineRule="auto"/>
    </w:pPr>
    <w:rPr>
      <w:rFonts w:ascii="宋体" w:hAnsi="宋体" w:cs="宋体"/>
      <w:sz w:val="24"/>
      <w:lang w:val="zh-CN" w:bidi="zh-CN"/>
    </w:rPr>
  </w:style>
  <w:style w:type="paragraph" w:styleId="1432" w:customStyle="1">
    <w:name w:val="正文文本_0"/>
    <w:basedOn w:val="1430"/>
    <w:link w:val="1433"/>
    <w:qFormat/>
    <w:rPr>
      <w:rFonts w:eastAsia="黑体"/>
      <w:sz w:val="36"/>
    </w:rPr>
  </w:style>
  <w:style w:type="character" w:styleId="1433" w:customStyle="1">
    <w:name w:val="正文文本 Char1_0"/>
    <w:link w:val="1432"/>
    <w:qFormat/>
    <w:rPr>
      <w:rFonts w:eastAsia="黑体"/>
      <w:sz w:val="36"/>
      <w:szCs w:val="24"/>
    </w:rPr>
  </w:style>
  <w:style w:type="paragraph" w:styleId="1434" w:customStyle="1">
    <w:name w:val="正文_1"/>
    <w:qFormat/>
    <w:pPr>
      <w:jc w:val="both"/>
      <w:widowControl w:val="off"/>
    </w:pPr>
    <w:rPr>
      <w:rFonts w:ascii="Calibri" w:hAnsi="Calibri"/>
      <w:sz w:val="21"/>
      <w:szCs w:val="22"/>
    </w:rPr>
  </w:style>
  <w:style w:type="paragraph" w:styleId="1435" w:customStyle="1">
    <w:name w:val="修订4"/>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7</cp:revision>
  <dcterms:created xsi:type="dcterms:W3CDTF">2025-11-19T01:36:00Z</dcterms:created>
  <dcterms:modified xsi:type="dcterms:W3CDTF">2025-11-24T08:00:34Z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94FF257A83D04DC19BE0E252607190EB_13</vt:lpwstr>
  </property>
  <property fmtid="{D5CDD505-2E9C-101B-9397-08002B2CF9AE}" pid="4" name="KSOTemplateDocerSaveRecord">
    <vt:lpwstr>eyJoZGlkIjoiNDMzYzMyNGM1ZmMxNGNhY2Q5NGMyMTg3ODI4NjY0NTUiLCJ1c2VySWQiOiIxMzE0NTM0MTQyIn0=</vt:lpwstr>
  </property>
</Properties>
</file>